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4E79"/>
          <w:sz w:val="40"/>
          <w:szCs w:val="40"/>
        </w:rPr>
        <w:t xml:space="preserve">Investigating Potential Bias Within the FEMA National Risk Index</w:t>
      </w:r>
    </w:p>
    <w:p>
      <w:pPr>
        <w:spacing w:after="80"/>
        <w:jc w:val="center"/>
      </w:pPr>
      <w:r>
        <w:rPr>
          <w:rFonts w:ascii="Arial" w:cs="Arial" w:eastAsia="Arial" w:hAnsi="Arial"/>
          <w:i/>
          <w:iCs/>
          <w:color w:val="555555"/>
          <w:sz w:val="24"/>
          <w:szCs w:val="24"/>
        </w:rPr>
        <w:t xml:space="preserve">A Comparative Analysis: Arkansas &amp; Missouri — Tornado Hazard</w:t>
      </w:r>
    </w:p>
    <w:p>
      <w:pPr>
        <w:pBdr>
          <w:bottom w:val="single" w:color="2E75B6" w:sz="8" w:space="6"/>
        </w:pBdr>
        <w:spacing w:after="560"/>
        <w:jc w:val="center"/>
      </w:pPr>
      <w:r>
        <w:rPr>
          <w:sz w:val="4"/>
          <w:szCs w:val="4"/>
        </w:rPr>
        <w:t xml:space="preserve"/>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Introduction</w:t>
      </w:r>
    </w:p>
    <w:p>
      <w:pPr>
        <w:spacing w:after="160" w:line="276"/>
        <w:jc w:val="both"/>
      </w:pPr>
      <w:r>
        <w:rPr>
          <w:rFonts w:ascii="Georgia" w:cs="Georgia" w:eastAsia="Georgia" w:hAnsi="Georgia"/>
          <w:sz w:val="22"/>
          <w:szCs w:val="22"/>
        </w:rPr>
        <w:t xml:space="preserve">FEMA has created the National Risk Index (NRI) as a tool for evaluating risk from hazards in the United States based on several components including Expected Annual Loss, Social Vulnerability, and Community Resilience. These components each contribute to a percentile ranking which is used to support decision making and resource allocation.</w:t>
      </w:r>
    </w:p>
    <w:p>
      <w:pPr>
        <w:spacing w:after="160" w:line="276"/>
        <w:jc w:val="both"/>
      </w:pPr>
      <w:r>
        <w:rPr>
          <w:rFonts w:ascii="Georgia" w:cs="Georgia" w:eastAsia="Georgia" w:hAnsi="Georgia"/>
          <w:sz w:val="22"/>
          <w:szCs w:val="22"/>
        </w:rPr>
        <w:t xml:space="preserve">The NRI presents hazard risk in an aggregate form, which creates both opportunities and challenges; specifically, it may obscure localized patterns of hazard exposure by combining fundamentally different components into a single index. Thus, there are concerns regarding whether the aggregated nature of risks identified by the NRI, may distort the representation of risk by masking the presence of localized patterns of hazards, and/or may introduce bias into the representation of risk.</w:t>
      </w:r>
    </w:p>
    <w:p>
      <w:pPr>
        <w:spacing w:after="160" w:line="276"/>
        <w:jc w:val="both"/>
      </w:pPr>
      <w:r>
        <w:rPr>
          <w:rFonts w:ascii="Georgia" w:cs="Georgia" w:eastAsia="Georgia" w:hAnsi="Georgia"/>
          <w:sz w:val="22"/>
          <w:szCs w:val="22"/>
        </w:rPr>
        <w:t xml:space="preserve">This paper investigates potential bias within the NRI methodology by comparing it to an alternative risk model in two geographically adjacent states with similar levels of risk associated with a specific hazard (inland flooding; tornadoes) — Arkansas and Missouri — but having very different demographic and spatial development profiles. Therefore, this study will examine the impact that different methodologies have on the classification of risk using the two different risk calculations for the two states.</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Methodology</w:t>
      </w:r>
    </w:p>
    <w:p>
      <w:pPr>
        <w:pStyle w:val="Heading2"/>
        <w:spacing w:after="80" w:before="240"/>
      </w:pPr>
      <w:r>
        <w:rPr>
          <w:rFonts w:ascii="Arial" w:cs="Arial" w:eastAsia="Arial" w:hAnsi="Arial"/>
          <w:b/>
          <w:bCs/>
          <w:color w:val="2E75B6"/>
          <w:sz w:val="24"/>
          <w:szCs w:val="24"/>
        </w:rPr>
        <w:t xml:space="preserve">Data Collection and Preparation</w:t>
      </w:r>
    </w:p>
    <w:p>
      <w:pPr>
        <w:spacing w:after="160" w:line="276"/>
        <w:jc w:val="both"/>
      </w:pPr>
      <w:r>
        <w:rPr>
          <w:rFonts w:ascii="Georgia" w:cs="Georgia" w:eastAsia="Georgia" w:hAnsi="Georgia"/>
          <w:sz w:val="22"/>
          <w:szCs w:val="22"/>
        </w:rPr>
        <w:t xml:space="preserve">The FEMA National Risk Index Database is a source of data used in this analysis as it relates to Tornados (TRND_AFR) on a Census Tract basis.</w:t>
      </w:r>
    </w:p>
    <w:p>
      <w:pPr>
        <w:spacing w:after="160" w:line="276"/>
        <w:jc w:val="both"/>
      </w:pPr>
      <w:r>
        <w:rPr>
          <w:rFonts w:ascii="Georgia" w:cs="Georgia" w:eastAsia="Georgia" w:hAnsi="Georgia"/>
          <w:sz w:val="22"/>
          <w:szCs w:val="22"/>
        </w:rPr>
        <w:t xml:space="preserve">The analysis of the databases from Arkansas and Missouri has been carried out in Python, using the Pandas, Numpy and GeoPandas libraries, through a workflow that consists of:</w:t>
      </w:r>
    </w:p>
    <w:p>
      <w:pPr>
        <w:pStyle w:val="ListParagraph"/>
        <w:numPr>
          <w:ilvl w:val="0"/>
          <w:numId w:val="2"/>
        </w:numPr>
        <w:spacing w:after="100" w:line="276"/>
      </w:pPr>
      <w:r>
        <w:rPr>
          <w:rFonts w:ascii="Georgia" w:cs="Georgia" w:eastAsia="Georgia" w:hAnsi="Georgia"/>
          <w:sz w:val="22"/>
          <w:szCs w:val="22"/>
        </w:rPr>
        <w:t xml:space="preserve">Importing raw NRI datasets as well as Census tract databases</w:t>
      </w:r>
    </w:p>
    <w:p>
      <w:pPr>
        <w:pStyle w:val="ListParagraph"/>
        <w:numPr>
          <w:ilvl w:val="0"/>
          <w:numId w:val="2"/>
        </w:numPr>
        <w:spacing w:after="100" w:line="276"/>
      </w:pPr>
      <w:r>
        <w:rPr>
          <w:rFonts w:ascii="Georgia" w:cs="Georgia" w:eastAsia="Georgia" w:hAnsi="Georgia"/>
          <w:sz w:val="22"/>
          <w:szCs w:val="22"/>
        </w:rPr>
        <w:t xml:space="preserve">Filtering through the datasets for the two States (Arkansas and Missouri)</w:t>
      </w:r>
    </w:p>
    <w:p>
      <w:pPr>
        <w:pStyle w:val="ListParagraph"/>
        <w:numPr>
          <w:ilvl w:val="0"/>
          <w:numId w:val="2"/>
        </w:numPr>
        <w:spacing w:after="100" w:line="276"/>
      </w:pPr>
      <w:r>
        <w:rPr>
          <w:rFonts w:ascii="Georgia" w:cs="Georgia" w:eastAsia="Georgia" w:hAnsi="Georgia"/>
          <w:sz w:val="22"/>
          <w:szCs w:val="22"/>
        </w:rPr>
        <w:t xml:space="preserve">Loading only the hazard variables that relate to Tornadoes</w:t>
      </w:r>
    </w:p>
    <w:p>
      <w:pPr>
        <w:pStyle w:val="ListParagraph"/>
        <w:numPr>
          <w:ilvl w:val="0"/>
          <w:numId w:val="2"/>
        </w:numPr>
        <w:spacing w:after="100" w:line="276"/>
      </w:pPr>
      <w:r>
        <w:rPr>
          <w:rFonts w:ascii="Georgia" w:cs="Georgia" w:eastAsia="Georgia" w:hAnsi="Georgia"/>
          <w:sz w:val="22"/>
          <w:szCs w:val="22"/>
        </w:rPr>
        <w:t xml:space="preserve">Finding the missing values</w:t>
      </w:r>
    </w:p>
    <w:p>
      <w:pPr>
        <w:pStyle w:val="ListParagraph"/>
        <w:numPr>
          <w:ilvl w:val="0"/>
          <w:numId w:val="2"/>
        </w:numPr>
        <w:spacing w:after="100" w:line="276"/>
      </w:pPr>
      <w:r>
        <w:rPr>
          <w:rFonts w:ascii="Georgia" w:cs="Georgia" w:eastAsia="Georgia" w:hAnsi="Georgia"/>
          <w:sz w:val="22"/>
          <w:szCs w:val="22"/>
        </w:rPr>
        <w:t xml:space="preserve">Assessing the missing values through Boolean checks across the columns of each dataset</w:t>
      </w:r>
    </w:p>
    <w:p>
      <w:pPr>
        <w:spacing w:after="80"/>
      </w:pPr>
      <w:r>
        <w:t xml:space="preserve"/>
      </w:r>
    </w:p>
    <w:p>
      <w:pPr>
        <w:spacing w:after="160" w:line="276"/>
        <w:jc w:val="both"/>
      </w:pPr>
      <w:r>
        <w:rPr>
          <w:rFonts w:ascii="Georgia" w:cs="Georgia" w:eastAsia="Georgia" w:hAnsi="Georgia"/>
          <w:sz w:val="22"/>
          <w:szCs w:val="22"/>
        </w:rPr>
        <w:t xml:space="preserve">For the Missouri data the missing numeric values were handled by using the median of the variable to impute the values thus ensuring that the statistical calculations that were performed on the dataset remain consistent and also to reduce the impact of missing values.</w:t>
      </w:r>
    </w:p>
    <w:p>
      <w:pPr>
        <w:spacing w:after="160" w:line="276"/>
        <w:jc w:val="both"/>
      </w:pPr>
      <w:r>
        <w:rPr>
          <w:rFonts w:ascii="Georgia" w:cs="Georgia" w:eastAsia="Georgia" w:hAnsi="Georgia"/>
          <w:sz w:val="22"/>
          <w:szCs w:val="22"/>
        </w:rPr>
        <w:t xml:space="preserve">The dataset will be used for the analysis to focus only on the hazard variable relating to tornadoes and their economic consequences, which is defined by three variables of the NRI dataset:</w:t>
      </w:r>
    </w:p>
    <w:p>
      <w:pPr>
        <w:pStyle w:val="ListParagraph"/>
        <w:numPr>
          <w:ilvl w:val="0"/>
          <w:numId w:val="3"/>
        </w:numPr>
        <w:spacing w:after="100" w:line="276"/>
      </w:pPr>
      <w:r>
        <w:rPr>
          <w:rFonts w:ascii="Georgia" w:cs="Georgia" w:eastAsia="Georgia" w:hAnsi="Georgia"/>
          <w:sz w:val="22"/>
          <w:szCs w:val="22"/>
        </w:rPr>
        <w:t xml:space="preserve">TRND_AFREQ — Annual occurrence/frequency of tornadoes (i.e., probability of tornado event)</w:t>
      </w:r>
    </w:p>
    <w:p>
      <w:pPr>
        <w:pStyle w:val="ListParagraph"/>
        <w:numPr>
          <w:ilvl w:val="0"/>
          <w:numId w:val="3"/>
        </w:numPr>
        <w:spacing w:after="100" w:line="276"/>
      </w:pPr>
      <w:r>
        <w:rPr>
          <w:rFonts w:ascii="Georgia" w:cs="Georgia" w:eastAsia="Georgia" w:hAnsi="Georgia"/>
          <w:sz w:val="22"/>
          <w:szCs w:val="22"/>
        </w:rPr>
        <w:t xml:space="preserve">TRND_EVNTS — Overall number of tornado events (i.e., historical exposure to tornado events)</w:t>
      </w:r>
    </w:p>
    <w:p>
      <w:pPr>
        <w:pStyle w:val="ListParagraph"/>
        <w:numPr>
          <w:ilvl w:val="0"/>
          <w:numId w:val="3"/>
        </w:numPr>
        <w:spacing w:after="100" w:line="276"/>
      </w:pPr>
      <w:r>
        <w:rPr>
          <w:rFonts w:ascii="Georgia" w:cs="Georgia" w:eastAsia="Georgia" w:hAnsi="Georgia"/>
          <w:sz w:val="22"/>
          <w:szCs w:val="22"/>
        </w:rPr>
        <w:t xml:space="preserve">TRND_ALRB — Expected annual loss to buildings as a result of tornado events (i.e., economic impact)</w:t>
      </w:r>
    </w:p>
    <w:p>
      <w:pPr>
        <w:spacing w:after="80"/>
      </w:pPr>
      <w:r>
        <w:t xml:space="preserve"/>
      </w:r>
    </w:p>
    <w:p>
      <w:pPr>
        <w:spacing w:after="160" w:line="276"/>
        <w:jc w:val="both"/>
      </w:pPr>
      <w:r>
        <w:rPr>
          <w:rFonts w:ascii="Georgia" w:cs="Georgia" w:eastAsia="Georgia" w:hAnsi="Georgia"/>
          <w:sz w:val="22"/>
          <w:szCs w:val="22"/>
        </w:rPr>
        <w:t xml:space="preserve">The variables were selected so that an analysis of the relationships of the occurrence of hazards versus the economic consequences can be determined.</w:t>
      </w:r>
    </w:p>
    <w:p>
      <w:pPr>
        <w:spacing w:after="80"/>
      </w:pPr>
      <w:r>
        <w:t xml:space="preserve"/>
      </w:r>
    </w:p>
    <w:p>
      <w:pPr>
        <w:pStyle w:val="Heading2"/>
        <w:spacing w:after="80" w:before="240"/>
      </w:pPr>
      <w:r>
        <w:rPr>
          <w:rFonts w:ascii="Arial" w:cs="Arial" w:eastAsia="Arial" w:hAnsi="Arial"/>
          <w:b/>
          <w:bCs/>
          <w:color w:val="2E75B6"/>
          <w:sz w:val="24"/>
          <w:szCs w:val="24"/>
        </w:rPr>
        <w:t xml:space="preserve">Risk as Represented by NRI</w:t>
      </w:r>
    </w:p>
    <w:p>
      <w:pPr>
        <w:spacing w:after="160" w:line="276"/>
        <w:jc w:val="both"/>
      </w:pPr>
      <w:r>
        <w:rPr>
          <w:rFonts w:ascii="Georgia" w:cs="Georgia" w:eastAsia="Georgia" w:hAnsi="Georgia"/>
          <w:sz w:val="22"/>
          <w:szCs w:val="22"/>
        </w:rPr>
        <w:t xml:space="preserve">Within the context of the NRI there is a single number that represents risk through EAL which is the product of probability and consequence. The relationship between the variables of frequency and consequence can be stated in the following simplified format:</w:t>
      </w:r>
    </w:p>
    <w:p>
      <w:pPr>
        <w:pBdr>
          <w:left w:val="single" w:color="2E75B6" w:sz="12" w:space="10"/>
        </w:pBdr>
        <w:spacing w:after="120" w:before="120" w:line="276"/>
        <w:ind w:left="720"/>
        <w:jc w:val="left"/>
      </w:pPr>
      <w:r>
        <w:rPr>
          <w:rFonts w:ascii="Courier New" w:cs="Courier New" w:eastAsia="Courier New" w:hAnsi="Courier New"/>
          <w:i/>
          <w:iCs/>
          <w:color w:val="444444"/>
          <w:sz w:val="20"/>
          <w:szCs w:val="20"/>
        </w:rPr>
        <w:t xml:space="preserve">NRI Risk  =  TRND_AFREQ  ×  TRND_ALRB</w:t>
      </w:r>
    </w:p>
    <w:p>
      <w:pPr>
        <w:spacing w:after="160" w:line="276"/>
        <w:jc w:val="both"/>
      </w:pPr>
      <w:r>
        <w:rPr>
          <w:rFonts w:ascii="Georgia" w:cs="Georgia" w:eastAsia="Georgia" w:hAnsi="Georgia"/>
          <w:sz w:val="22"/>
          <w:szCs w:val="22"/>
        </w:rPr>
        <w:t xml:space="preserve">The relationship illustrates the economic loss generated from a hazard's frequency of occurrence.</w:t>
      </w:r>
    </w:p>
    <w:p>
      <w:pPr>
        <w:spacing w:after="80"/>
      </w:pPr>
      <w:r>
        <w:t xml:space="preserve"/>
      </w:r>
    </w:p>
    <w:p>
      <w:pPr>
        <w:pStyle w:val="Heading2"/>
        <w:spacing w:after="80" w:before="240"/>
      </w:pPr>
      <w:r>
        <w:rPr>
          <w:rFonts w:ascii="Arial" w:cs="Arial" w:eastAsia="Arial" w:hAnsi="Arial"/>
          <w:b/>
          <w:bCs/>
          <w:color w:val="2E75B6"/>
          <w:sz w:val="24"/>
          <w:szCs w:val="24"/>
        </w:rPr>
        <w:t xml:space="preserve">Alternative Risk Model</w:t>
      </w:r>
    </w:p>
    <w:p>
      <w:pPr>
        <w:spacing w:after="160" w:line="276"/>
        <w:jc w:val="both"/>
      </w:pPr>
      <w:r>
        <w:rPr>
          <w:rFonts w:ascii="Georgia" w:cs="Georgia" w:eastAsia="Georgia" w:hAnsi="Georgia"/>
          <w:sz w:val="22"/>
          <w:szCs w:val="22"/>
        </w:rPr>
        <w:t xml:space="preserve">An alternative risk model was developed to see how changing the probability component would impact risk classification. This model combines both annual frequency of a hazard and an aggregate count of the events:</w:t>
      </w:r>
    </w:p>
    <w:p>
      <w:pPr>
        <w:pBdr>
          <w:left w:val="single" w:color="2E75B6" w:sz="12" w:space="10"/>
        </w:pBdr>
        <w:spacing w:after="120" w:before="120" w:line="276"/>
        <w:ind w:left="720"/>
        <w:jc w:val="left"/>
      </w:pPr>
      <w:r>
        <w:rPr>
          <w:rFonts w:ascii="Courier New" w:cs="Courier New" w:eastAsia="Courier New" w:hAnsi="Courier New"/>
          <w:i/>
          <w:iCs/>
          <w:color w:val="444444"/>
          <w:sz w:val="20"/>
          <w:szCs w:val="20"/>
        </w:rPr>
        <w:t xml:space="preserve">Alternative Risk  =  TRND_AFREQ  ×  TRND_EVNTS  ×  TRND_ALRB</w:t>
      </w:r>
    </w:p>
    <w:p>
      <w:pPr>
        <w:spacing w:after="160" w:line="276"/>
        <w:jc w:val="both"/>
      </w:pPr>
      <w:r>
        <w:rPr>
          <w:rFonts w:ascii="Georgia" w:cs="Georgia" w:eastAsia="Georgia" w:hAnsi="Georgia"/>
          <w:sz w:val="22"/>
          <w:szCs w:val="22"/>
        </w:rPr>
        <w:t xml:space="preserve">This formulation of risk increases sensitivity to the effects of an individual hazard over time by applying a weighted total historical count to the probability of occurrence for each event. The intent here is to more clearly identify areas that have been subjected to multiple instances of tornado occurrences rather than simply using an averaged annual frequency of occurrence.</w:t>
      </w:r>
    </w:p>
    <w:p>
      <w:pPr>
        <w:spacing w:after="160" w:line="276"/>
        <w:jc w:val="both"/>
      </w:pPr>
      <w:r>
        <w:rPr>
          <w:rFonts w:ascii="Georgia" w:cs="Georgia" w:eastAsia="Georgia" w:hAnsi="Georgia"/>
          <w:sz w:val="22"/>
          <w:szCs w:val="22"/>
        </w:rPr>
        <w:t xml:space="preserve">This alternative model does not use any social vulnerability or community resilience factors as direct inputs, which allows for a more "pure" assessment of the combination of hazard exposure and economic consequence.</w:t>
      </w:r>
    </w:p>
    <w:p>
      <w:pPr>
        <w:spacing w:after="80"/>
      </w:pPr>
      <w:r>
        <w:t xml:space="preserve"/>
      </w:r>
    </w:p>
    <w:p>
      <w:pPr>
        <w:pStyle w:val="Heading2"/>
        <w:spacing w:after="80" w:before="240"/>
      </w:pPr>
      <w:r>
        <w:rPr>
          <w:rFonts w:ascii="Arial" w:cs="Arial" w:eastAsia="Arial" w:hAnsi="Arial"/>
          <w:b/>
          <w:bCs/>
          <w:color w:val="2E75B6"/>
          <w:sz w:val="24"/>
          <w:szCs w:val="24"/>
        </w:rPr>
        <w:t xml:space="preserve">Geospatial Analysis</w:t>
      </w:r>
    </w:p>
    <w:p>
      <w:pPr>
        <w:spacing w:after="160" w:line="276"/>
        <w:jc w:val="both"/>
      </w:pPr>
      <w:r>
        <w:rPr>
          <w:rFonts w:ascii="Georgia" w:cs="Georgia" w:eastAsia="Georgia" w:hAnsi="Georgia"/>
          <w:sz w:val="22"/>
          <w:szCs w:val="22"/>
        </w:rPr>
        <w:t xml:space="preserve">Geospatial visualization was performed using GeoPandas. Census tract shapefiles were merged with hazard datasets to create spatial representations of:</w:t>
      </w:r>
    </w:p>
    <w:p>
      <w:pPr>
        <w:pStyle w:val="ListParagraph"/>
        <w:numPr>
          <w:ilvl w:val="0"/>
          <w:numId w:val="3"/>
        </w:numPr>
        <w:spacing w:after="100" w:line="276"/>
      </w:pPr>
      <w:r>
        <w:rPr>
          <w:rFonts w:ascii="Georgia" w:cs="Georgia" w:eastAsia="Georgia" w:hAnsi="Georgia"/>
          <w:sz w:val="22"/>
          <w:szCs w:val="22"/>
        </w:rPr>
        <w:t xml:space="preserve">Tornado frequency (TRND_AFREQ)</w:t>
      </w:r>
    </w:p>
    <w:p>
      <w:pPr>
        <w:pStyle w:val="ListParagraph"/>
        <w:numPr>
          <w:ilvl w:val="0"/>
          <w:numId w:val="3"/>
        </w:numPr>
        <w:spacing w:after="100" w:line="276"/>
      </w:pPr>
      <w:r>
        <w:rPr>
          <w:rFonts w:ascii="Georgia" w:cs="Georgia" w:eastAsia="Georgia" w:hAnsi="Georgia"/>
          <w:sz w:val="22"/>
          <w:szCs w:val="22"/>
        </w:rPr>
        <w:t xml:space="preserve">Building loss rate (TRND_ALRB)</w:t>
      </w:r>
    </w:p>
    <w:p>
      <w:pPr>
        <w:spacing w:after="80"/>
      </w:pPr>
      <w:r>
        <w:t xml:space="preserve"/>
      </w:r>
    </w:p>
    <w:p>
      <w:pPr>
        <w:spacing w:after="160" w:line="276"/>
        <w:jc w:val="both"/>
      </w:pPr>
      <w:r>
        <w:rPr>
          <w:rFonts w:ascii="Georgia" w:cs="Georgia" w:eastAsia="Georgia" w:hAnsi="Georgia"/>
          <w:sz w:val="22"/>
          <w:szCs w:val="22"/>
        </w:rPr>
        <w:t xml:space="preserve">These maps were used to identify spatial patterns and compare how hazard exposure varies across regions within Arkansas and Missouri.</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Results and Comparison</w:t>
      </w:r>
    </w:p>
    <w:p>
      <w:pPr>
        <w:spacing w:after="160" w:line="276"/>
        <w:jc w:val="both"/>
      </w:pPr>
      <w:r>
        <w:rPr>
          <w:rFonts w:ascii="Georgia" w:cs="Georgia" w:eastAsia="Georgia" w:hAnsi="Georgia"/>
          <w:sz w:val="22"/>
          <w:szCs w:val="22"/>
        </w:rPr>
        <w:t xml:space="preserve">The NRI-style risk assessment when compared with the new model produced a significant contrast in the method by which risk is partitioned across Census Tracts.</w:t>
      </w:r>
    </w:p>
    <w:p>
      <w:pPr>
        <w:spacing w:after="160" w:line="276"/>
        <w:jc w:val="both"/>
      </w:pPr>
      <w:r>
        <w:rPr>
          <w:rFonts w:ascii="Georgia" w:cs="Georgia" w:eastAsia="Georgia" w:hAnsi="Georgia"/>
          <w:sz w:val="22"/>
          <w:szCs w:val="22"/>
        </w:rPr>
        <w:t xml:space="preserve">Whereas the NRI-style calculations provided a relatively smooth (i.e., averaged) distribution of risk values across the area by combining hazard frequency and the associated economic impact; the proposed alternative model created an exaggerated risk for areas where there had been many cumulative tornado events.</w:t>
      </w:r>
    </w:p>
    <w:p>
      <w:pPr>
        <w:spacing w:after="160" w:line="276"/>
        <w:jc w:val="both"/>
      </w:pPr>
      <w:r>
        <w:rPr>
          <w:rFonts w:ascii="Georgia" w:cs="Georgia" w:eastAsia="Georgia" w:hAnsi="Georgia"/>
          <w:sz w:val="22"/>
          <w:szCs w:val="22"/>
        </w:rPr>
        <w:t xml:space="preserve">These same areas that experience many tornadoes but on an annual average would see a substantial increase in their relative risk with respect to the alternative method of estimating risk based primarily on the cumulative number of tornadoes that had previously occurred within their boundaries. This also implies that when total events are utilized to compute risk estimates, there is a much greater degree of exposure to repeated hazards than there would be if hazard occurrences were treated purely as averages of incidence rates over time.</w:t>
      </w:r>
    </w:p>
    <w:p>
      <w:pPr>
        <w:spacing w:after="160" w:line="276"/>
        <w:jc w:val="both"/>
      </w:pPr>
      <w:r>
        <w:rPr>
          <w:rFonts w:ascii="Georgia" w:cs="Georgia" w:eastAsia="Georgia" w:hAnsi="Georgia"/>
          <w:sz w:val="22"/>
          <w:szCs w:val="22"/>
        </w:rPr>
        <w:t xml:space="preserve">Geospatial visualizations support this conclusion as well, with many clusters of higher risks located in geographic locations with a history of numerous tornadoes that would not otherwise have been observed in the NRI-style image of risk.</w:t>
      </w:r>
    </w:p>
    <w:p>
      <w:pPr>
        <w:spacing w:after="160" w:line="276"/>
        <w:jc w:val="both"/>
      </w:pPr>
      <w:r>
        <w:rPr>
          <w:rFonts w:ascii="Georgia" w:cs="Georgia" w:eastAsia="Georgia" w:hAnsi="Georgia"/>
          <w:sz w:val="22"/>
          <w:szCs w:val="22"/>
        </w:rPr>
        <w:t xml:space="preserve">While both Arkansas and Missouri exhibit regions of elevated tornado frequency, Missouri shows more concentrated clusters of high event counts, whereas Arkansas displays a more dispersed pattern of hazard exposure. This difference further highlights how the alternative model responds more strongly to repeated events within localized areas.</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Analysis of Bias and Sensitivities</w:t>
      </w:r>
    </w:p>
    <w:p>
      <w:pPr>
        <w:spacing w:after="160" w:line="276"/>
        <w:jc w:val="both"/>
      </w:pPr>
      <w:r>
        <w:rPr>
          <w:rFonts w:ascii="Georgia" w:cs="Georgia" w:eastAsia="Georgia" w:hAnsi="Georgia"/>
          <w:sz w:val="22"/>
          <w:szCs w:val="22"/>
        </w:rPr>
        <w:t xml:space="preserve">The findings demonstrate that the definition and calculation methodology for probability heavily affect risk classification and are therefore closely related to one another. The NRI model's reliance on the average annual frequency may smooth out localized patterns of repeated exposure to hazards.</w:t>
      </w:r>
    </w:p>
    <w:p>
      <w:pPr>
        <w:spacing w:after="160" w:line="276"/>
        <w:jc w:val="both"/>
      </w:pPr>
      <w:r>
        <w:rPr>
          <w:rFonts w:ascii="Georgia" w:cs="Georgia" w:eastAsia="Georgia" w:hAnsi="Georgia"/>
          <w:sz w:val="22"/>
          <w:szCs w:val="22"/>
        </w:rPr>
        <w:t xml:space="preserve">In contrast, the proposed model increases sensitivity to repeated hazardous events through the use of totals for the number of events occurring in an area. By showing areas that could potentially experience multiple incumbent disruptions, the total count method may indicate that the NRI model may actually underestimate risk in locations with a high number of incident reoccurrences.</w:t>
      </w:r>
    </w:p>
    <w:p>
      <w:pPr>
        <w:spacing w:after="160" w:line="276"/>
        <w:jc w:val="both"/>
      </w:pPr>
      <w:r>
        <w:rPr>
          <w:rFonts w:ascii="Georgia" w:cs="Georgia" w:eastAsia="Georgia" w:hAnsi="Georgia"/>
          <w:sz w:val="22"/>
          <w:szCs w:val="22"/>
        </w:rPr>
        <w:t xml:space="preserve">However, there are also limitations with respect to the alternative method, which include the potential for double counting of probability due to both annual frequency and the total number of events being used to measure the occurrence of hazards. This could inflate risk values and allow too much emphasis to be placed on frequency as opposed to consequence.</w:t>
      </w:r>
    </w:p>
    <w:p>
      <w:pPr>
        <w:spacing w:after="160" w:line="276"/>
        <w:jc w:val="both"/>
      </w:pPr>
      <w:r>
        <w:rPr>
          <w:rFonts w:ascii="Georgia" w:cs="Georgia" w:eastAsia="Georgia" w:hAnsi="Georgia"/>
          <w:sz w:val="22"/>
          <w:szCs w:val="22"/>
        </w:rPr>
        <w:t xml:space="preserve">These findings indicate that there are different types of biases associated with different modelling decisions; therefore, it is vital to demonstrate transparency in how risk metrics are generated.</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Consequences of Policies and Ethics</w:t>
      </w:r>
    </w:p>
    <w:p>
      <w:pPr>
        <w:spacing w:after="160" w:line="276"/>
        <w:jc w:val="both"/>
      </w:pPr>
      <w:r>
        <w:rPr>
          <w:rFonts w:ascii="Georgia" w:cs="Georgia" w:eastAsia="Georgia" w:hAnsi="Georgia"/>
          <w:sz w:val="22"/>
          <w:szCs w:val="22"/>
        </w:rPr>
        <w:t xml:space="preserve">Differences in risk-modeling represent potential consequences for how resources will be allocated for disaster preparation and emergency response. Because NRI scores are used by FEMA to decide how to allocate funding and prioritize mitigation efforts, any differences between the way the two risk-modeling methodologies score the same areas could lead to different areas being selected for support by FEMA.</w:t>
      </w:r>
    </w:p>
    <w:p>
      <w:pPr>
        <w:spacing w:after="160" w:line="276"/>
        <w:jc w:val="both"/>
      </w:pPr>
      <w:r>
        <w:rPr>
          <w:rFonts w:ascii="Georgia" w:cs="Georgia" w:eastAsia="Georgia" w:hAnsi="Georgia"/>
          <w:sz w:val="22"/>
          <w:szCs w:val="22"/>
        </w:rPr>
        <w:t xml:space="preserve">If NRI underestimates risk for areas that have experienced multiple previous disasters, those areas may not receive sufficient resources and/or attention. Conversely, if a risk model overemphasizes frequency of occurrence of an area's hazard, it is possible resources will be allocated disproportionately in specific areas.</w:t>
      </w:r>
    </w:p>
    <w:p>
      <w:pPr>
        <w:spacing w:after="160" w:line="276"/>
        <w:jc w:val="both"/>
      </w:pPr>
      <w:r>
        <w:rPr>
          <w:rFonts w:ascii="Georgia" w:cs="Georgia" w:eastAsia="Georgia" w:hAnsi="Georgia"/>
          <w:sz w:val="22"/>
          <w:szCs w:val="22"/>
        </w:rPr>
        <w:t xml:space="preserve">The exclusion of social vulnerability and community resilience from the proposed model eliminates important information regarding impact of disasters on communities and different populations. While this allows for a clearer analysis of hazards' physical characteristics, it may miss important equity-related factors that impact real-life decisions made by emergency managers.</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Limitations</w:t>
      </w:r>
    </w:p>
    <w:p>
      <w:pPr>
        <w:spacing w:after="160" w:line="276"/>
        <w:jc w:val="both"/>
      </w:pPr>
      <w:r>
        <w:rPr>
          <w:rFonts w:ascii="Georgia" w:cs="Georgia" w:eastAsia="Georgia" w:hAnsi="Georgia"/>
          <w:sz w:val="22"/>
          <w:szCs w:val="22"/>
        </w:rPr>
        <w:t xml:space="preserve">This study has the following limitations:</w:t>
      </w:r>
    </w:p>
    <w:p>
      <w:pPr>
        <w:pStyle w:val="ListParagraph"/>
        <w:numPr>
          <w:ilvl w:val="0"/>
          <w:numId w:val="3"/>
        </w:numPr>
        <w:spacing w:after="100" w:line="276"/>
      </w:pPr>
      <w:r>
        <w:rPr>
          <w:rFonts w:ascii="Georgia" w:cs="Georgia" w:eastAsia="Georgia" w:hAnsi="Georgia"/>
          <w:sz w:val="22"/>
          <w:szCs w:val="22"/>
        </w:rPr>
        <w:t xml:space="preserve">Focus on only tornado-related variables with no consideration to other hazards included in NRI.</w:t>
      </w:r>
    </w:p>
    <w:p>
      <w:pPr>
        <w:pStyle w:val="ListParagraph"/>
        <w:numPr>
          <w:ilvl w:val="0"/>
          <w:numId w:val="3"/>
        </w:numPr>
        <w:spacing w:after="100" w:line="276"/>
      </w:pPr>
      <w:r>
        <w:rPr>
          <w:rFonts w:ascii="Georgia" w:cs="Georgia" w:eastAsia="Georgia" w:hAnsi="Georgia"/>
          <w:sz w:val="22"/>
          <w:szCs w:val="22"/>
        </w:rPr>
        <w:t xml:space="preserve">Some variables in the alternative model are not completely independent from one another and, therefore could cause bias due to double counting.</w:t>
      </w:r>
    </w:p>
    <w:p>
      <w:pPr>
        <w:pStyle w:val="ListParagraph"/>
        <w:numPr>
          <w:ilvl w:val="0"/>
          <w:numId w:val="3"/>
        </w:numPr>
        <w:spacing w:after="100" w:line="276"/>
      </w:pPr>
      <w:r>
        <w:rPr>
          <w:rFonts w:ascii="Georgia" w:cs="Georgia" w:eastAsia="Georgia" w:hAnsi="Georgia"/>
          <w:sz w:val="22"/>
          <w:szCs w:val="22"/>
        </w:rPr>
        <w:t xml:space="preserve">Median imputation was used to handle missing data and will reduce precision of results.</w:t>
      </w:r>
    </w:p>
    <w:p>
      <w:pPr>
        <w:pStyle w:val="ListParagraph"/>
        <w:numPr>
          <w:ilvl w:val="0"/>
          <w:numId w:val="3"/>
        </w:numPr>
        <w:spacing w:after="100" w:line="276"/>
      </w:pPr>
      <w:r>
        <w:rPr>
          <w:rFonts w:ascii="Georgia" w:cs="Georgia" w:eastAsia="Georgia" w:hAnsi="Georgia"/>
          <w:sz w:val="22"/>
          <w:szCs w:val="22"/>
        </w:rPr>
        <w:t xml:space="preserve">The study only uses data from two states, making results not generalizable to other areas of the country.</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Conclusion</w:t>
      </w:r>
    </w:p>
    <w:p>
      <w:pPr>
        <w:spacing w:after="160" w:line="276"/>
        <w:jc w:val="both"/>
      </w:pPr>
      <w:r>
        <w:rPr>
          <w:rFonts w:ascii="Georgia" w:cs="Georgia" w:eastAsia="Georgia" w:hAnsi="Georgia"/>
          <w:sz w:val="22"/>
          <w:szCs w:val="22"/>
        </w:rPr>
        <w:t xml:space="preserve">The results of this study indicate that the classification of risk is strongly influenced by the definition and calculation of risk. The National Risk Index (NRI) model provides a broad, but aggregated view of risk. The alternate model, on the other hand, provides a unique, detailed view of risk based on repeated exposures to hazards, leading to different spatial distributions of risk.</w:t>
      </w:r>
    </w:p>
    <w:p>
      <w:pPr>
        <w:spacing w:after="160" w:line="276"/>
        <w:jc w:val="both"/>
      </w:pPr>
      <w:r>
        <w:rPr>
          <w:rFonts w:ascii="Georgia" w:cs="Georgia" w:eastAsia="Georgia" w:hAnsi="Georgia"/>
          <w:sz w:val="22"/>
          <w:szCs w:val="22"/>
        </w:rPr>
        <w:t xml:space="preserve">The results also suggest that using the NRI approach may obscure localized concentrations of repeat hazard activity and therefore underestimate hazard risk in certain parts of the USA. By comparison, alternative hazard classification models produce their own biases in hazard risk assessments, especially when the variables that comprise the hazard are not independent of each other.</w:t>
      </w:r>
    </w:p>
    <w:p>
      <w:pPr>
        <w:spacing w:after="160" w:line="276"/>
        <w:jc w:val="both"/>
      </w:pPr>
      <w:r>
        <w:rPr>
          <w:rFonts w:ascii="Georgia" w:cs="Georgia" w:eastAsia="Georgia" w:hAnsi="Georgia"/>
          <w:sz w:val="22"/>
          <w:szCs w:val="22"/>
        </w:rPr>
        <w:t xml:space="preserve">In summary, the findings of this study support the importance of properly defining risk metrics and indicate that there is a need to consider multiple views when attempting to fully comprehend and manage risk associated with natural hazards.</w:t>
      </w:r>
    </w:p>
    <w:p>
      <w:pPr>
        <w:spacing w:after="160" w:line="276"/>
        <w:jc w:val="both"/>
      </w:pPr>
      <w:r>
        <w:rPr>
          <w:rFonts w:ascii="Georgia" w:cs="Georgia" w:eastAsia="Georgia" w:hAnsi="Georgia"/>
          <w:sz w:val="22"/>
          <w:szCs w:val="22"/>
        </w:rPr>
        <w:t xml:space="preserve">These results demonstrate that risk is not an inherent or objective quantity, but rather a constructed metric that depends heavily on modeling assumptions. As a result, differences in methodology can produce substantially different interpretations of which regions are considered “high-risk.”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jc w:val="right"/>
    </w:pPr>
    <w:r>
      <w:rPr>
        <w:rFonts w:ascii="Arial" w:cs="Arial" w:eastAsia="Arial" w:hAnsi="Arial"/>
        <w:color w:val="888888"/>
        <w:sz w:val="18"/>
        <w:szCs w:val="18"/>
      </w:rPr>
      <w:t xml:space="preserve">FEMA National Risk Index — Bias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2026-04-21T16:41:34.338Z</dcterms:created>
  <dcterms:modified xsi:type="dcterms:W3CDTF">2026-04-21T16:41:34.353Z</dcterms:modified>
</cp:coreProperties>
</file>

<file path=docProps/custom.xml><?xml version="1.0" encoding="utf-8"?>
<Properties xmlns="http://schemas.openxmlformats.org/officeDocument/2006/custom-properties" xmlns:vt="http://schemas.openxmlformats.org/officeDocument/2006/docPropsVTypes"/>
</file>