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Procédure de mise à jour des messages ATIS</w:t>
      </w:r>
    </w:p>
    <w:p>
      <w:pPr/>
      <w:r>
        <w:t xml:space="preserve">Oct 15, 2026</w:t>
      </w:r>
      <w:r>
        <w:t xml:space="preserve"> · </w:t>
      </w:r>
      <w:r>
        <w:t xml:space="preserve">@Dylane Tankeu</w:t>
      </w:r>
    </w:p>
    <w:p>
      <w:pPr/>
      <w:r>
        <w:t xml:space="preserve">Aucun message ATIS ne part en diffusion sans avoir été vérifié par un second agent AIM puis validé par l'ATCO en poste. Cette procédure fixe qui prépare, qui vérifie, qui valide et dans quels délais.</w:t>
      </w:r>
    </w:p>
    <w:p>
      <w:pPr>
        <w:pStyle w:val="Heading2"/>
      </w:pPr>
      <w:r>
        <w:t xml:space="preserve">1. Objet, domaine d'application et références</w:t>
      </w:r>
    </w:p>
    <w:p>
      <w:pPr/>
      <w:r>
        <w:rPr>
          <w:b/>
        </w:rPr>
        <w:t xml:space="preserve">Objet.</w:t>
      </w:r>
      <w:r>
        <w:t xml:space="preserve"> Définir le processus de préparation, de vérification systématique, de transmission à l'ATCO et de diffusion des messages ATIS (voix et D-ATIS) de l'aérodrome.</w:t>
      </w:r>
    </w:p>
    <w:p>
      <w:pPr/>
      <w:r>
        <w:rPr>
          <w:b/>
        </w:rPr>
        <w:t xml:space="preserve">Domaine d'application.</w:t>
      </w:r>
      <w:r>
        <w:t xml:space="preserve"> Toute création ou mise à jour d'un message ATIS, de jour comme de nuit, en exploitation normale et en mode dégradé. Personnel concerné : agents du bureau AIM/BIA, chefs de quart AIM, ATCO de la tour et de l'approche, techniciens CNS.</w:t>
      </w:r>
    </w:p>
    <w:p>
      <w:pPr/>
      <w:r>
        <w:rPr>
          <w:b/>
        </w:rPr>
        <w:t xml:space="preserve">Références</w:t>
      </w:r>
      <w:r>
        <w:t xml:space="preserve"> (à compléter par les textes nationaux et le manuel d'exploitation de l'organisme) :</w:t>
      </w:r>
    </w:p>
    <w:p>
      <w:pPr>
        <w:pStyle w:val="ListParagraph"/>
        <w:numPr>
          <w:ilvl w:val="0"/>
          <w:numId w:val="2"/>
        </w:numPr>
      </w:pPr>
      <w:r>
        <w:t xml:space="preserve">OACI Annexe 11, </w:t>
      </w:r>
      <w:r>
        <w:rPr>
          <w:i/>
        </w:rPr>
        <w:t xml:space="preserve">Services de la circulation aérienne</w:t>
      </w:r>
      <w:r>
        <w:t xml:space="preserve"> : exigences relatives à l'ATIS.</w:t>
      </w:r>
    </w:p>
    <w:p>
      <w:pPr>
        <w:pStyle w:val="ListParagraph"/>
        <w:numPr>
          <w:ilvl w:val="0"/>
          <w:numId w:val="2"/>
        </w:numPr>
      </w:pPr>
      <w:r>
        <w:t xml:space="preserve">OACI Doc 4444, </w:t>
      </w:r>
      <w:r>
        <w:rPr>
          <w:i/>
        </w:rPr>
        <w:t xml:space="preserve">PANS-ATM</w:t>
      </w:r>
      <w:r>
        <w:t xml:space="preserve"> : contenu et ordre des éléments d'un message ATIS.</w:t>
      </w:r>
    </w:p>
    <w:p>
      <w:pPr>
        <w:pStyle w:val="ListParagraph"/>
        <w:numPr>
          <w:ilvl w:val="0"/>
          <w:numId w:val="2"/>
        </w:numPr>
      </w:pPr>
      <w:r>
        <w:t xml:space="preserve">OACI Annexe 3, </w:t>
      </w:r>
      <w:r>
        <w:rPr>
          <w:i/>
        </w:rPr>
        <w:t xml:space="preserve">Assistance météorologique</w:t>
      </w:r>
      <w:r>
        <w:t xml:space="preserve"> : METAR, SPECI, TREND.</w:t>
      </w:r>
    </w:p>
    <w:p>
      <w:pPr>
        <w:pStyle w:val="ListParagraph"/>
        <w:numPr>
          <w:ilvl w:val="0"/>
          <w:numId w:val="2"/>
        </w:numPr>
      </w:pPr>
      <w:r>
        <w:t xml:space="preserve">OACI Annexe 15 et Doc 10066, </w:t>
      </w:r>
      <w:r>
        <w:rPr>
          <w:i/>
        </w:rPr>
        <w:t xml:space="preserve">PANS-AIM</w:t>
      </w:r>
      <w:r>
        <w:t xml:space="preserve"> : gestion et qualité de l'information aéronautique.</w:t>
      </w:r>
    </w:p>
    <w:p>
      <w:pPr>
        <w:pStyle w:val="ListParagraph"/>
        <w:numPr>
          <w:ilvl w:val="0"/>
          <w:numId w:val="2"/>
        </w:numPr>
      </w:pPr>
      <w:r>
        <w:t xml:space="preserve">OACI Doc 9432, </w:t>
      </w:r>
      <w:r>
        <w:rPr>
          <w:i/>
        </w:rPr>
        <w:t xml:space="preserve">Manuel de radiotéléphonie</w:t>
      </w:r>
      <w:r>
        <w:t xml:space="preserve"> : phraséologie.</w:t>
      </w:r>
    </w:p>
    <w:p>
      <w:pPr>
        <w:pStyle w:val="ListParagraph"/>
        <w:numPr>
          <w:ilvl w:val="0"/>
          <w:numId w:val="2"/>
        </w:numPr>
      </w:pPr>
      <w:r>
        <w:t xml:space="preserve">Lettre d'accord AIM / ATS / MET de l'aérodrome.</w:t>
      </w:r>
    </w:p>
    <w:p>
      <w:pPr>
        <w:pStyle w:val="Heading2"/>
      </w:pPr>
      <w:r>
        <w:t xml:space="preserve">2. Définitions et abréviations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Terme</w:t>
            </w:r>
          </w:p>
        </w:tc>
        <w:tc>
          <w:tcPr>
            <w:tcW w:w="4680" w:type="dxa"/>
            <w:shd w:val="clear" w:color="auto" w:fill="F2F2F2"/>
          </w:tcPr>
          <w:p>
            <w:pPr/>
            <w:r>
              <w:t xml:space="preserve">Définition</w:t>
            </w:r>
          </w:p>
        </w:tc>
      </w:tr>
      <w:tr>
        <w:tc>
          <w:tcPr>
            <w:tcW w:w="4680" w:type="dxa"/>
          </w:tcPr>
          <w:p>
            <w:pPr/>
            <w:r>
              <w:t xml:space="preserve">AIM</w:t>
            </w:r>
          </w:p>
        </w:tc>
        <w:tc>
          <w:tcPr>
            <w:tcW w:w="4680" w:type="dxa"/>
          </w:tcPr>
          <w:p>
            <w:pPr/>
            <w:r>
              <w:t xml:space="preserve">Gestion de l'information aéronautique (bureau AIM / BIA de l'aérodrome).</w:t>
            </w:r>
          </w:p>
        </w:tc>
      </w:tr>
      <w:tr>
        <w:tc>
          <w:tcPr>
            <w:tcW w:w="4680" w:type="dxa"/>
          </w:tcPr>
          <w:p>
            <w:pPr/>
            <w:r>
              <w:t xml:space="preserve">ATCO</w:t>
            </w:r>
          </w:p>
        </w:tc>
        <w:tc>
          <w:tcPr>
            <w:tcW w:w="4680" w:type="dxa"/>
          </w:tcPr>
          <w:p>
            <w:pPr/>
            <w:r>
              <w:t xml:space="preserve">Contrôleur de la circulation aérienne en poste (tour ou approche).</w:t>
            </w:r>
          </w:p>
        </w:tc>
      </w:tr>
      <w:tr>
        <w:tc>
          <w:tcPr>
            <w:tcW w:w="4680" w:type="dxa"/>
          </w:tcPr>
          <w:p>
            <w:pPr/>
            <w:r>
              <w:t xml:space="preserve">ATIS</w:t>
            </w:r>
          </w:p>
        </w:tc>
        <w:tc>
          <w:tcPr>
            <w:tcW w:w="4680" w:type="dxa"/>
          </w:tcPr>
          <w:p>
            <w:pPr/>
            <w:r>
              <w:t xml:space="preserve">Service automatique d'information de région terminale, diffusé en boucle sur fréquence VHF.</w:t>
            </w:r>
          </w:p>
        </w:tc>
      </w:tr>
      <w:tr>
        <w:tc>
          <w:tcPr>
            <w:tcW w:w="4680" w:type="dxa"/>
          </w:tcPr>
          <w:p>
            <w:pPr/>
            <w:r>
              <w:t xml:space="preserve">D-ATIS</w:t>
            </w:r>
          </w:p>
        </w:tc>
        <w:tc>
          <w:tcPr>
            <w:tcW w:w="4680" w:type="dxa"/>
          </w:tcPr>
          <w:p>
            <w:pPr/>
            <w:r>
              <w:t xml:space="preserve">ATIS transmis par liaison de données (ACARS).</w:t>
            </w:r>
          </w:p>
        </w:tc>
      </w:tr>
      <w:tr>
        <w:tc>
          <w:tcPr>
            <w:tcW w:w="4680" w:type="dxa"/>
          </w:tcPr>
          <w:p>
            <w:pPr/>
            <w:r>
              <w:t xml:space="preserve">Lettre d'identification</w:t>
            </w:r>
          </w:p>
        </w:tc>
        <w:tc>
          <w:tcPr>
            <w:tcW w:w="4680" w:type="dxa"/>
          </w:tcPr>
          <w:p>
            <w:pPr/>
            <w:r>
              <w:t xml:space="preserve">Lettre de l'alphabet OACI (Alpha à Zulu) attribuée à chaque nouvelle version du message, dans l'ordre.</w:t>
            </w:r>
          </w:p>
        </w:tc>
      </w:tr>
      <w:tr>
        <w:tc>
          <w:tcPr>
            <w:tcW w:w="4680" w:type="dxa"/>
          </w:tcPr>
          <w:p>
            <w:pPr/>
            <w:r>
              <w:t xml:space="preserve">METAR / SPECI</w:t>
            </w:r>
          </w:p>
        </w:tc>
        <w:tc>
          <w:tcPr>
            <w:tcW w:w="4680" w:type="dxa"/>
          </w:tcPr>
          <w:p>
            <w:pPr/>
            <w:r>
              <w:t xml:space="preserve">Message d'observation météorologique régulier / spécial.</w:t>
            </w:r>
          </w:p>
        </w:tc>
      </w:tr>
      <w:tr>
        <w:tc>
          <w:tcPr>
            <w:tcW w:w="4680" w:type="dxa"/>
          </w:tcPr>
          <w:p>
            <w:pPr/>
            <w:r>
              <w:t xml:space="preserve">NOTAM</w:t>
            </w:r>
          </w:p>
        </w:tc>
        <w:tc>
          <w:tcPr>
            <w:tcW w:w="4680" w:type="dxa"/>
          </w:tcPr>
          <w:p>
            <w:pPr/>
            <w:r>
              <w:t xml:space="preserve">Avis aux navigateurs aériens.</w:t>
            </w:r>
          </w:p>
        </w:tc>
      </w:tr>
      <w:tr>
        <w:tc>
          <w:tcPr>
            <w:tcW w:w="4680" w:type="dxa"/>
          </w:tcPr>
          <w:p>
            <w:pPr/>
            <w:r>
              <w:t xml:space="preserve">QNH / QFE</w:t>
            </w:r>
          </w:p>
        </w:tc>
        <w:tc>
          <w:tcPr>
            <w:tcW w:w="4680" w:type="dxa"/>
          </w:tcPr>
          <w:p>
            <w:pPr/>
            <w:r>
              <w:t xml:space="preserve">Calage altimétrique au niveau de la mer / à l'altitude de l'aérodrome.</w:t>
            </w:r>
          </w:p>
        </w:tc>
      </w:tr>
      <w:tr>
        <w:tc>
          <w:tcPr>
            <w:tcW w:w="4680" w:type="dxa"/>
          </w:tcPr>
          <w:p>
            <w:pPr/>
            <w:r>
              <w:t xml:space="preserve">Rédacteur</w:t>
            </w:r>
          </w:p>
        </w:tc>
        <w:tc>
          <w:tcPr>
            <w:tcW w:w="4680" w:type="dxa"/>
          </w:tcPr>
          <w:p>
            <w:pPr/>
            <w:r>
              <w:t xml:space="preserve">Agent AIM qui prépare le projet de message.</w:t>
            </w:r>
          </w:p>
        </w:tc>
      </w:tr>
      <w:tr>
        <w:tc>
          <w:tcPr>
            <w:tcW w:w="4680" w:type="dxa"/>
          </w:tcPr>
          <w:p>
            <w:pPr/>
            <w:r>
              <w:t xml:space="preserve">Vérificateur</w:t>
            </w:r>
          </w:p>
        </w:tc>
        <w:tc>
          <w:tcPr>
            <w:tcW w:w="4680" w:type="dxa"/>
          </w:tcPr>
          <w:p>
            <w:pPr/>
            <w:r>
              <w:t xml:space="preserve">Second agent AIM qui contrôle le projet avant transmission à l'ATCO.</w:t>
            </w:r>
          </w:p>
        </w:tc>
      </w:tr>
      <w:tr>
        <w:tc>
          <w:tcPr>
            <w:tcW w:w="4680" w:type="dxa"/>
          </w:tcPr>
          <w:p>
            <w:pPr/>
            <w:r>
              <w:t xml:space="preserve">RWYCC / RCR</w:t>
            </w:r>
          </w:p>
        </w:tc>
        <w:tc>
          <w:tcPr>
            <w:tcW w:w="4680" w:type="dxa"/>
          </w:tcPr>
          <w:p>
            <w:pPr/>
            <w:r>
              <w:t xml:space="preserve">Code d'état de piste / compte rendu d'état de piste.</w:t>
            </w:r>
          </w:p>
        </w:tc>
      </w:tr>
    </w:tbl>
    <w:p>
      <w:pPr>
        <w:pStyle w:val="Heading2"/>
      </w:pPr>
      <w:r>
        <w:t xml:space="preserve">3. Rôles et responsabilités</w:t>
      </w:r>
    </w:p>
    <w:p>
      <w:pPr/>
      <w:r>
        <w:t xml:space="preserve">Le rédacteur et le vérificateur sont deux personnes distinctes : un agent ne vérifie jamais son propre message. L'ATCO garde la décision finale de diffusion.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Acteur</w:t>
            </w:r>
          </w:p>
        </w:tc>
        <w:tc>
          <w:tcPr>
            <w:tcW w:w="4680" w:type="dxa"/>
            <w:shd w:val="clear" w:color="auto" w:fill="F2F2F2"/>
          </w:tcPr>
          <w:p>
            <w:pPr/>
            <w:r>
              <w:t xml:space="preserve">Responsabilités</w:t>
            </w:r>
          </w:p>
        </w:tc>
      </w:tr>
      <w:tr>
        <w:tc>
          <w:tcPr>
            <w:tcW w:w="4680" w:type="dxa"/>
          </w:tcPr>
          <w:p>
            <w:pPr/>
            <w:r>
              <w:t xml:space="preserve">Rédacteur AIM</w:t>
            </w:r>
          </w:p>
        </w:tc>
        <w:tc>
          <w:tcPr>
            <w:tcW w:w="4680" w:type="dxa"/>
          </w:tcPr>
          <w:p>
            <w:pPr/>
            <w:r>
              <w:t xml:space="preserve">Surveille les déclencheurs, collecte les données, rédige le projet, attribue la lettre suivante, renseigne le registre.</w:t>
            </w:r>
          </w:p>
        </w:tc>
      </w:tr>
      <w:tr>
        <w:tc>
          <w:tcPr>
            <w:tcW w:w="4680" w:type="dxa"/>
          </w:tcPr>
          <w:p>
            <w:pPr/>
            <w:r>
              <w:t xml:space="preserve">Vérificateur AIM</w:t>
            </w:r>
          </w:p>
        </w:tc>
        <w:tc>
          <w:tcPr>
            <w:tcW w:w="4680" w:type="dxa"/>
          </w:tcPr>
          <w:p>
            <w:pPr/>
            <w:r>
              <w:t xml:space="preserve">Contrôle le projet point par point avec la check-list (section 6), vise ou rejette, transmet à l'ATCO.</w:t>
            </w:r>
          </w:p>
        </w:tc>
      </w:tr>
      <w:tr>
        <w:tc>
          <w:tcPr>
            <w:tcW w:w="4680" w:type="dxa"/>
          </w:tcPr>
          <w:p>
            <w:pPr/>
            <w:r>
              <w:t xml:space="preserve">Chef de quart AIM</w:t>
            </w:r>
          </w:p>
        </w:tc>
        <w:tc>
          <w:tcPr>
            <w:tcW w:w="4680" w:type="dxa"/>
          </w:tcPr>
          <w:p>
            <w:pPr/>
            <w:r>
              <w:t xml:space="preserve">Organise le double contrôle, assure la vérification si un seul agent est présent (voir section 8), arbitre les désaccords, signe le registre en fin de quart.</w:t>
            </w:r>
          </w:p>
        </w:tc>
      </w:tr>
      <w:tr>
        <w:tc>
          <w:tcPr>
            <w:tcW w:w="4680" w:type="dxa"/>
          </w:tcPr>
          <w:p>
            <w:pPr/>
            <w:r>
              <w:t xml:space="preserve">ATCO</w:t>
            </w:r>
          </w:p>
        </w:tc>
        <w:tc>
          <w:tcPr>
            <w:tcW w:w="4680" w:type="dxa"/>
          </w:tcPr>
          <w:p>
            <w:pPr/>
            <w:r>
              <w:t xml:space="preserve">Vérifie la cohérence opérationnelle (piste en service, procédures, consignes), valide ou renvoie le message, autorise la diffusion, annonce la nouvelle lettre aux aéronefs.</w:t>
            </w:r>
          </w:p>
        </w:tc>
      </w:tr>
      <w:tr>
        <w:tc>
          <w:tcPr>
            <w:tcW w:w="4680" w:type="dxa"/>
          </w:tcPr>
          <w:p>
            <w:pPr/>
            <w:r>
              <w:t xml:space="preserve">Station MET</w:t>
            </w:r>
          </w:p>
        </w:tc>
        <w:tc>
          <w:tcPr>
            <w:tcW w:w="4680" w:type="dxa"/>
          </w:tcPr>
          <w:p>
            <w:pPr/>
            <w:r>
              <w:t xml:space="preserve">Fournit METAR, SPECI et TREND ; signale sans délai toute correction.</w:t>
            </w:r>
          </w:p>
        </w:tc>
      </w:tr>
      <w:tr>
        <w:tc>
          <w:tcPr>
            <w:tcW w:w="4680" w:type="dxa"/>
          </w:tcPr>
          <w:p>
            <w:pPr/>
            <w:r>
              <w:t xml:space="preserve">Technicien CNS</w:t>
            </w:r>
          </w:p>
        </w:tc>
        <w:tc>
          <w:tcPr>
            <w:tcW w:w="4680" w:type="dxa"/>
          </w:tcPr>
          <w:p>
            <w:pPr/>
            <w:r>
              <w:t xml:space="preserve">Maintient l'équipement ATIS / D-ATIS, signale les pannes, contrôle la qualité de diffusion.</w:t>
            </w:r>
          </w:p>
        </w:tc>
      </w:tr>
    </w:tbl>
    <w:p>
      <w:pPr>
        <w:pStyle w:val="Heading2"/>
      </w:pPr>
      <w:r>
        <w:t xml:space="preserve">4. Événements déclencheurs</w:t>
      </w:r>
    </w:p>
    <w:p>
      <w:pPr/>
      <w:r>
        <w:t xml:space="preserve">Un nouveau message, avec une nouvelle lettre, est préparé dès qu'un des événements suivants survient :</w:t>
      </w:r>
    </w:p>
    <w:p>
      <w:pPr>
        <w:pStyle w:val="ListParagraph"/>
        <w:numPr>
          <w:ilvl w:val="0"/>
          <w:numId w:val="3"/>
        </w:numPr>
      </w:pPr>
      <w:r>
        <w:t xml:space="preserve">réception d'un METAR régulier (toutes les 30 ou 60 min selon l'aérodrome) ;</w:t>
      </w:r>
    </w:p>
    <w:p>
      <w:pPr>
        <w:pStyle w:val="ListParagraph"/>
        <w:numPr>
          <w:ilvl w:val="0"/>
          <w:numId w:val="3"/>
        </w:numPr>
      </w:pPr>
      <w:r>
        <w:t xml:space="preserve">réception d'un SPECI ou d'un METAR corrigé (COR) ;</w:t>
      </w:r>
    </w:p>
    <w:p>
      <w:pPr>
        <w:pStyle w:val="ListParagraph"/>
        <w:numPr>
          <w:ilvl w:val="0"/>
          <w:numId w:val="3"/>
        </w:numPr>
      </w:pPr>
      <w:r>
        <w:t xml:space="preserve">changement de piste en service ou de type d'approche, sur décision de l'ATCO ;</w:t>
      </w:r>
    </w:p>
    <w:p>
      <w:pPr>
        <w:pStyle w:val="ListParagraph"/>
        <w:numPr>
          <w:ilvl w:val="0"/>
          <w:numId w:val="3"/>
        </w:numPr>
      </w:pPr>
      <w:r>
        <w:t xml:space="preserve">variation du QNH atteignant le seuil fixé localement, même entre deux METAR ;</w:t>
      </w:r>
    </w:p>
    <w:p>
      <w:pPr>
        <w:pStyle w:val="ListParagraph"/>
        <w:numPr>
          <w:ilvl w:val="0"/>
          <w:numId w:val="3"/>
        </w:numPr>
      </w:pPr>
      <w:r>
        <w:t xml:space="preserve">changement d'état de la surface de piste (RCR, RWYCC, contamination) ;</w:t>
      </w:r>
    </w:p>
    <w:p>
      <w:pPr>
        <w:pStyle w:val="ListParagraph"/>
        <w:numPr>
          <w:ilvl w:val="0"/>
          <w:numId w:val="3"/>
        </w:numPr>
      </w:pPr>
      <w:r>
        <w:t xml:space="preserve">panne, retour en service ou déclassement d'une aide (ILS, VOR, balisage lumineux) ;</w:t>
      </w:r>
    </w:p>
    <w:p>
      <w:pPr>
        <w:pStyle w:val="ListParagraph"/>
        <w:numPr>
          <w:ilvl w:val="0"/>
          <w:numId w:val="3"/>
        </w:numPr>
      </w:pPr>
      <w:r>
        <w:t xml:space="preserve">publication, entrée en vigueur ou annulation d'un NOTAM ayant un effet opérationnel immédiat ;</w:t>
      </w:r>
    </w:p>
    <w:p>
      <w:pPr>
        <w:pStyle w:val="ListParagraph"/>
        <w:numPr>
          <w:ilvl w:val="0"/>
          <w:numId w:val="3"/>
        </w:numPr>
      </w:pPr>
      <w:r>
        <w:t xml:space="preserve">travaux, fermeture de voie de circulation ou péril animalier signalé ;</w:t>
      </w:r>
    </w:p>
    <w:p>
      <w:pPr>
        <w:pStyle w:val="ListParagraph"/>
        <w:numPr>
          <w:ilvl w:val="0"/>
          <w:numId w:val="3"/>
        </w:numPr>
      </w:pPr>
      <w:r>
        <w:t xml:space="preserve">demande expresse de l'ATCO ou du chef de quart.</w:t>
      </w:r>
    </w:p>
    <w:p>
      <w:pPr>
        <w:pStyle w:val="Heading2"/>
      </w:pPr>
      <w:r>
        <w:t xml:space="preserve">5. Procédure pas à pas</w:t>
      </w:r>
    </w:p>
    <w:p>
      <w:pPr/>
      <w:r>
        <w:t xml:space="preserve">Le message passe par trois contrôles successifs avant diffusion. Tout rejet renvoie le message au rédacteur, sans changer de lettre tant que la version n'a pas été diffusée.</w:t>
      </w:r>
    </w:p>
    <w:p>
      <w:pPr>
        <w:pStyle w:val="ListParagraph"/>
        <w:numPr>
          <w:ilvl w:val="0"/>
          <w:numId w:val="4"/>
        </w:numPr>
      </w:pPr>
      <w:r>
        <w:rPr>
          <w:b/>
        </w:rPr>
        <w:t xml:space="preserve">Détection.</w:t>
      </w:r>
      <w:r>
        <w:t xml:space="preserve"> Le rédacteur identifie le déclencheur (section 4) et note l'heure de détection dans le registre.</w:t>
      </w:r>
    </w:p>
    <w:p>
      <w:pPr>
        <w:pStyle w:val="ListParagraph"/>
        <w:numPr>
          <w:ilvl w:val="0"/>
          <w:numId w:val="4"/>
        </w:numPr>
      </w:pPr>
      <w:r>
        <w:rPr>
          <w:b/>
        </w:rPr>
        <w:t xml:space="preserve">Collecte.</w:t>
      </w:r>
      <w:r>
        <w:t xml:space="preserve"> Il réunit les données à jour depuis leur source officielle :</w:t>
      </w:r>
    </w:p>
    <w:p>
      <w:pPr>
        <w:pStyle w:val="ListParagraph"/>
        <w:numPr>
          <w:ilvl w:val="1"/>
          <w:numId w:val="5"/>
        </w:numPr>
      </w:pPr>
      <w:r>
        <w:t xml:space="preserve">METAR / SPECI depuis le terminal MET (jamais recopié d'un message antérieur) ;</w:t>
      </w:r>
    </w:p>
    <w:p>
      <w:pPr>
        <w:pStyle w:val="ListParagraph"/>
        <w:numPr>
          <w:ilvl w:val="1"/>
          <w:numId w:val="5"/>
        </w:numPr>
      </w:pPr>
      <w:r>
        <w:t xml:space="preserve">piste en service et type d'approche confirmés par l'ATCO ;</w:t>
      </w:r>
    </w:p>
    <w:p>
      <w:pPr>
        <w:pStyle w:val="ListParagraph"/>
        <w:numPr>
          <w:ilvl w:val="1"/>
          <w:numId w:val="5"/>
        </w:numPr>
      </w:pPr>
      <w:r>
        <w:t xml:space="preserve">NOTAM en vigueur à l'heure de diffusion ;</w:t>
      </w:r>
    </w:p>
    <w:p>
      <w:pPr>
        <w:pStyle w:val="ListParagraph"/>
        <w:numPr>
          <w:ilvl w:val="1"/>
          <w:numId w:val="5"/>
        </w:numPr>
      </w:pPr>
      <w:r>
        <w:t xml:space="preserve">état des aides et de la piste auprès du CNS et de l'exploitant d'aérodrome.</w:t>
      </w:r>
    </w:p>
    <w:p>
      <w:pPr>
        <w:pStyle w:val="ListParagraph"/>
        <w:numPr>
          <w:ilvl w:val="0"/>
          <w:numId w:val="4"/>
        </w:numPr>
      </w:pPr>
      <w:r>
        <w:rPr>
          <w:b/>
        </w:rPr>
        <w:t xml:space="preserve">Rédaction.</w:t>
      </w:r>
      <w:r>
        <w:t xml:space="preserve"> Il saisit le projet dans le modèle normalisé (annexe A), dans l'ordre du PANS-ATM, attribue la lettre suivante et l'heure d'observation.</w:t>
      </w:r>
    </w:p>
    <w:p>
      <w:pPr>
        <w:pStyle w:val="ListParagraph"/>
        <w:numPr>
          <w:ilvl w:val="0"/>
          <w:numId w:val="4"/>
        </w:numPr>
      </w:pPr>
      <w:r>
        <w:rPr>
          <w:b/>
        </w:rPr>
        <w:t xml:space="preserve">Autocontrôle.</w:t>
      </w:r>
      <w:r>
        <w:t xml:space="preserve"> Il relit le projet en entier et le compare aux sources.</w:t>
      </w:r>
    </w:p>
    <w:p>
      <w:pPr>
        <w:pStyle w:val="ListParagraph"/>
        <w:numPr>
          <w:ilvl w:val="0"/>
          <w:numId w:val="4"/>
        </w:numPr>
      </w:pPr>
      <w:r>
        <w:rPr>
          <w:b/>
        </w:rPr>
        <w:t xml:space="preserve">Vérification systématique.</w:t>
      </w:r>
      <w:r>
        <w:t xml:space="preserve"> Le vérificateur contrôle chaque élément avec la check-list (section 6), à partir des sources et non du projet seul.</w:t>
      </w:r>
    </w:p>
    <w:p>
      <w:pPr>
        <w:pStyle w:val="ListParagraph"/>
        <w:numPr>
          <w:ilvl w:val="1"/>
          <w:numId w:val="6"/>
        </w:numPr>
      </w:pPr>
      <w:r>
        <w:t xml:space="preserve">Conforme : il appose son visa (nom, heure) et passe à l'étape 6.</w:t>
      </w:r>
    </w:p>
    <w:p>
      <w:pPr>
        <w:pStyle w:val="ListParagraph"/>
        <w:numPr>
          <w:ilvl w:val="1"/>
          <w:numId w:val="6"/>
        </w:numPr>
      </w:pPr>
      <w:r>
        <w:t xml:space="preserve">Non conforme : il retourne le projet au rédacteur avec le motif ; retour à l'étape 3.</w:t>
      </w:r>
    </w:p>
    <w:p>
      <w:pPr>
        <w:pStyle w:val="ListParagraph"/>
        <w:numPr>
          <w:ilvl w:val="0"/>
          <w:numId w:val="4"/>
        </w:numPr>
      </w:pPr>
      <w:r>
        <w:rPr>
          <w:b/>
        </w:rPr>
        <w:t xml:space="preserve">Transmission à l'ATCO.</w:t>
      </w:r>
      <w:r>
        <w:t xml:space="preserve"> Le vérificateur transmet le projet visé par le canal convenu (écran ATIS, interphone avec lecture intégrale, ou formulaire) et note l'heure.</w:t>
      </w:r>
    </w:p>
    <w:p>
      <w:pPr>
        <w:pStyle w:val="ListParagraph"/>
        <w:numPr>
          <w:ilvl w:val="0"/>
          <w:numId w:val="4"/>
        </w:numPr>
      </w:pPr>
      <w:r>
        <w:rPr>
          <w:b/>
        </w:rPr>
        <w:t xml:space="preserve">Validation ATCO.</w:t>
      </w:r>
      <w:r>
        <w:t xml:space="preserve"> L'ATCO vérifie la cohérence opérationnelle.</w:t>
      </w:r>
    </w:p>
    <w:p>
      <w:pPr>
        <w:pStyle w:val="ListParagraph"/>
        <w:numPr>
          <w:ilvl w:val="1"/>
          <w:numId w:val="7"/>
        </w:numPr>
      </w:pPr>
      <w:r>
        <w:t xml:space="preserve">Validé : il autorise la diffusion.</w:t>
      </w:r>
    </w:p>
    <w:p>
      <w:pPr>
        <w:pStyle w:val="ListParagraph"/>
        <w:numPr>
          <w:ilvl w:val="1"/>
          <w:numId w:val="7"/>
        </w:numPr>
      </w:pPr>
      <w:r>
        <w:t xml:space="preserve">Refusé : il indique le motif ; retour à l'étape 3 et nouvelle vérification complète.</w:t>
      </w:r>
    </w:p>
    <w:p>
      <w:pPr>
        <w:pStyle w:val="ListParagraph"/>
        <w:numPr>
          <w:ilvl w:val="0"/>
          <w:numId w:val="4"/>
        </w:numPr>
      </w:pPr>
      <w:r>
        <w:rPr>
          <w:b/>
        </w:rPr>
        <w:t xml:space="preserve">Diffusion.</w:t>
      </w:r>
      <w:r>
        <w:t xml:space="preserve"> Le message est enregistré ou généré, puis diffusé en voix et en D-ATIS.</w:t>
      </w:r>
    </w:p>
    <w:p>
      <w:pPr>
        <w:pStyle w:val="ListParagraph"/>
        <w:numPr>
          <w:ilvl w:val="0"/>
          <w:numId w:val="4"/>
        </w:numPr>
      </w:pPr>
      <w:r>
        <w:rPr>
          <w:b/>
        </w:rPr>
        <w:t xml:space="preserve">Écoute de contrôle.</w:t>
      </w:r>
      <w:r>
        <w:t xml:space="preserve"> Le rédacteur écoute un cycle complet sur la fréquence ATIS et vérifie le D-ATIS. Toute différence = retrait et nouvelle version.</w:t>
      </w:r>
    </w:p>
    <w:p>
      <w:pPr>
        <w:pStyle w:val="ListParagraph"/>
        <w:numPr>
          <w:ilvl w:val="0"/>
          <w:numId w:val="4"/>
        </w:numPr>
      </w:pPr>
      <w:r>
        <w:rPr>
          <w:b/>
        </w:rPr>
        <w:t xml:space="preserve">Information et clôture.</w:t>
      </w:r>
      <w:r>
        <w:t xml:space="preserve"> L'ATCO annonce la nouvelle lettre aux aéronefs en contact ; le rédacteur archive le message et complète le registre (section 9).</w:t>
      </w:r>
    </w:p>
    <w:p>
      <w:pPr/>
      <w:r>
        <w:drawing>
          <wp:inline distT="0" distB="0" distL="0" distR="0">
            <wp:extent cx="5486400" cy="2432957"/>
            <wp:docPr id="1" name="image1" descr="circuit de validation ATIS · 2 contrôles avant diffusion"/>
            <a:graphic xmlns:a="http://schemas.openxmlformats.org/drawingml/2006/main">
              <a:graphicData uri="http://schemas.openxmlformats.org/drawingml/2006/picture">
                <pic:pic xmlns:pic="http://schemas.openxmlformats.org/drawingml/2006/picture">
                  <pic:nvPicPr>
                    <pic:cNvPr id="1" name="image1" descr="circuit de validation ATIS · 2 contrôles avant diffusion"/>
                    <pic:cNvPicPr/>
                  </pic:nvPicPr>
                  <pic:blipFill>
                    <a:blip r:embed="rId3"/>
                    <a:stretch>
                      <a:fillRect/>
                    </a:stretch>
                  </pic:blipFill>
                  <pic:spPr>
                    <a:xfrm>
                      <a:off x="0" y="0"/>
                      <a:ext cx="5486400" cy="2432957"/>
                    </a:xfrm>
                    <a:prstGeom prst="rect">
                      <a:avLst/>
                    </a:prstGeom>
                  </pic:spPr>
                </pic:pic>
              </a:graphicData>
            </a:graphic>
          </wp:inline>
        </w:drawing>
      </w:r>
    </w:p>
    <w:p>
      <w:pPr/>
      <w:r>
        <w:t xml:space="preserve">circuit de validation ATIS · 2 contrôles avant diffusion</w:t>
      </w:r>
    </w:p>
    <w:p>
      <w:pPr/>
      <w:r>
        <w:t xml:space="preserve">Les deux losanges sont des points d'arrêt : un rejet, côté AIM ou ATCO, renvoie toujours le message au rédacteur pour une nouvelle vérification complète.</w:t>
      </w:r>
    </w:p>
    <w:p>
      <w:pPr>
        <w:pStyle w:val="Heading2"/>
      </w:pPr>
      <w:r>
        <w:t xml:space="preserve">6. Check-list de vérification avant transmission à l'ATCO</w:t>
      </w:r>
    </w:p>
    <w:p>
      <w:pPr/>
      <w:r>
        <w:t xml:space="preserve">Le vérificateur coche chaque point en le comparant à la source. Un seul point non conforme bloque la transmission.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w:t>
            </w:r>
          </w:p>
        </w:tc>
        <w:tc>
          <w:tcPr>
            <w:tcW w:w="2340" w:type="dxa"/>
            <w:shd w:val="clear" w:color="auto" w:fill="F2F2F2"/>
          </w:tcPr>
          <w:p>
            <w:pPr/>
            <w:r>
              <w:t xml:space="preserve">Élément</w:t>
            </w:r>
          </w:p>
        </w:tc>
        <w:tc>
          <w:tcPr>
            <w:tcW w:w="2340" w:type="dxa"/>
            <w:shd w:val="clear" w:color="auto" w:fill="F2F2F2"/>
          </w:tcPr>
          <w:p>
            <w:pPr/>
            <w:r>
              <w:t xml:space="preserve">Contrôle</w:t>
            </w:r>
          </w:p>
        </w:tc>
        <w:tc>
          <w:tcPr>
            <w:tcW w:w="2340" w:type="dxa"/>
            <w:shd w:val="clear" w:color="auto" w:fill="F2F2F2"/>
          </w:tcPr>
          <w:p>
            <w:pPr/>
            <w:r>
              <w:t xml:space="preserve">Source</w:t>
            </w:r>
          </w:p>
        </w:tc>
      </w:tr>
      <w:tr>
        <w:tc>
          <w:tcPr>
            <w:tcW w:w="2340" w:type="dxa"/>
          </w:tcPr>
          <w:p>
            <w:pPr/>
            <w:r>
              <w:t xml:space="preserve">1</w:t>
            </w:r>
          </w:p>
        </w:tc>
        <w:tc>
          <w:tcPr>
            <w:tcW w:w="2340" w:type="dxa"/>
          </w:tcPr>
          <w:p>
            <w:pPr/>
            <w:r>
              <w:t xml:space="preserve">Nom de l'aérodrome</w:t>
            </w:r>
          </w:p>
        </w:tc>
        <w:tc>
          <w:tcPr>
            <w:tcW w:w="2340" w:type="dxa"/>
          </w:tcPr>
          <w:p>
            <w:pPr/>
            <w:r>
              <w:t xml:space="preserve">Exact, indicatif OACI correct</w:t>
            </w:r>
          </w:p>
        </w:tc>
        <w:tc>
          <w:tcPr>
            <w:tcW w:w="2340" w:type="dxa"/>
          </w:tcPr>
          <w:p>
            <w:pPr/>
            <w:r>
              <w:t xml:space="preserve">Manuel d'exploitation</w:t>
            </w:r>
          </w:p>
        </w:tc>
      </w:tr>
      <w:tr>
        <w:tc>
          <w:tcPr>
            <w:tcW w:w="2340" w:type="dxa"/>
          </w:tcPr>
          <w:p>
            <w:pPr/>
            <w:r>
              <w:t xml:space="preserve">2</w:t>
            </w:r>
          </w:p>
        </w:tc>
        <w:tc>
          <w:tcPr>
            <w:tcW w:w="2340" w:type="dxa"/>
          </w:tcPr>
          <w:p>
            <w:pPr/>
            <w:r>
              <w:t xml:space="preserve">Lettre d'identification</w:t>
            </w:r>
          </w:p>
        </w:tc>
        <w:tc>
          <w:tcPr>
            <w:tcW w:w="2340" w:type="dxa"/>
          </w:tcPr>
          <w:p>
            <w:pPr/>
            <w:r>
              <w:t xml:space="preserve">Suit la lettre en cours (Z → A), sans saut ni doublon</w:t>
            </w:r>
          </w:p>
        </w:tc>
        <w:tc>
          <w:tcPr>
            <w:tcW w:w="2340" w:type="dxa"/>
          </w:tcPr>
          <w:p>
            <w:pPr/>
            <w:r>
              <w:t xml:space="preserve">Registre</w:t>
            </w:r>
          </w:p>
        </w:tc>
      </w:tr>
      <w:tr>
        <w:tc>
          <w:tcPr>
            <w:tcW w:w="2340" w:type="dxa"/>
          </w:tcPr>
          <w:p>
            <w:pPr/>
            <w:r>
              <w:t xml:space="preserve">3</w:t>
            </w:r>
          </w:p>
        </w:tc>
        <w:tc>
          <w:tcPr>
            <w:tcW w:w="2340" w:type="dxa"/>
          </w:tcPr>
          <w:p>
            <w:pPr/>
            <w:r>
              <w:t xml:space="preserve">Heure d'observation</w:t>
            </w:r>
          </w:p>
        </w:tc>
        <w:tc>
          <w:tcPr>
            <w:tcW w:w="2340" w:type="dxa"/>
          </w:tcPr>
          <w:p>
            <w:pPr/>
            <w:r>
              <w:t xml:space="preserve">Celle du dernier METAR / SPECI, en UTC</w:t>
            </w:r>
          </w:p>
        </w:tc>
        <w:tc>
          <w:tcPr>
            <w:tcW w:w="2340" w:type="dxa"/>
          </w:tcPr>
          <w:p>
            <w:pPr/>
            <w:r>
              <w:t xml:space="preserve">Terminal MET</w:t>
            </w:r>
          </w:p>
        </w:tc>
      </w:tr>
      <w:tr>
        <w:tc>
          <w:tcPr>
            <w:tcW w:w="2340" w:type="dxa"/>
          </w:tcPr>
          <w:p>
            <w:pPr/>
            <w:r>
              <w:t xml:space="preserve">4</w:t>
            </w:r>
          </w:p>
        </w:tc>
        <w:tc>
          <w:tcPr>
            <w:tcW w:w="2340" w:type="dxa"/>
          </w:tcPr>
          <w:p>
            <w:pPr/>
            <w:r>
              <w:t xml:space="preserve">Piste(s) en service et type d'approche</w:t>
            </w:r>
          </w:p>
        </w:tc>
        <w:tc>
          <w:tcPr>
            <w:tcW w:w="2340" w:type="dxa"/>
          </w:tcPr>
          <w:p>
            <w:pPr/>
            <w:r>
              <w:t xml:space="preserve">Confirmés par l'ATCO</w:t>
            </w:r>
          </w:p>
        </w:tc>
        <w:tc>
          <w:tcPr>
            <w:tcW w:w="2340" w:type="dxa"/>
          </w:tcPr>
          <w:p>
            <w:pPr/>
            <w:r>
              <w:t xml:space="preserve">ATCO</w:t>
            </w:r>
          </w:p>
        </w:tc>
      </w:tr>
      <w:tr>
        <w:tc>
          <w:tcPr>
            <w:tcW w:w="2340" w:type="dxa"/>
          </w:tcPr>
          <w:p>
            <w:pPr/>
            <w:r>
              <w:t xml:space="preserve">5</w:t>
            </w:r>
          </w:p>
        </w:tc>
        <w:tc>
          <w:tcPr>
            <w:tcW w:w="2340" w:type="dxa"/>
          </w:tcPr>
          <w:p>
            <w:pPr/>
            <w:r>
              <w:t xml:space="preserve">État de la piste</w:t>
            </w:r>
          </w:p>
        </w:tc>
        <w:tc>
          <w:tcPr>
            <w:tcW w:w="2340" w:type="dxa"/>
          </w:tcPr>
          <w:p>
            <w:pPr/>
            <w:r>
              <w:t xml:space="preserve">RCR / RWYCC à jour, par tiers de piste</w:t>
            </w:r>
          </w:p>
        </w:tc>
        <w:tc>
          <w:tcPr>
            <w:tcW w:w="2340" w:type="dxa"/>
          </w:tcPr>
          <w:p>
            <w:pPr/>
            <w:r>
              <w:t xml:space="preserve">Exploitant d'aérodrome</w:t>
            </w:r>
          </w:p>
        </w:tc>
      </w:tr>
      <w:tr>
        <w:tc>
          <w:tcPr>
            <w:tcW w:w="2340" w:type="dxa"/>
          </w:tcPr>
          <w:p>
            <w:pPr/>
            <w:r>
              <w:t xml:space="preserve">6</w:t>
            </w:r>
          </w:p>
        </w:tc>
        <w:tc>
          <w:tcPr>
            <w:tcW w:w="2340" w:type="dxa"/>
          </w:tcPr>
          <w:p>
            <w:pPr/>
            <w:r>
              <w:t xml:space="preserve">Vent</w:t>
            </w:r>
          </w:p>
        </w:tc>
        <w:tc>
          <w:tcPr>
            <w:tcW w:w="2340" w:type="dxa"/>
          </w:tcPr>
          <w:p>
            <w:pPr/>
            <w:r>
              <w:t xml:space="preserve">Direction, vitesse, rafales, variations conformes au METAR</w:t>
            </w:r>
          </w:p>
        </w:tc>
        <w:tc>
          <w:tcPr>
            <w:tcW w:w="2340" w:type="dxa"/>
          </w:tcPr>
          <w:p>
            <w:pPr/>
            <w:r>
              <w:t xml:space="preserve">Terminal MET</w:t>
            </w:r>
          </w:p>
        </w:tc>
      </w:tr>
      <w:tr>
        <w:tc>
          <w:tcPr>
            <w:tcW w:w="2340" w:type="dxa"/>
          </w:tcPr>
          <w:p>
            <w:pPr/>
            <w:r>
              <w:t xml:space="preserve">7</w:t>
            </w:r>
          </w:p>
        </w:tc>
        <w:tc>
          <w:tcPr>
            <w:tcW w:w="2340" w:type="dxa"/>
          </w:tcPr>
          <w:p>
            <w:pPr/>
            <w:r>
              <w:t xml:space="preserve">Visibilité / RVR</w:t>
            </w:r>
          </w:p>
        </w:tc>
        <w:tc>
          <w:tcPr>
            <w:tcW w:w="2340" w:type="dxa"/>
          </w:tcPr>
          <w:p>
            <w:pPr/>
            <w:r>
              <w:t xml:space="preserve">Valeurs et unités conformes</w:t>
            </w:r>
          </w:p>
        </w:tc>
        <w:tc>
          <w:tcPr>
            <w:tcW w:w="2340" w:type="dxa"/>
          </w:tcPr>
          <w:p>
            <w:pPr/>
            <w:r>
              <w:t xml:space="preserve">Terminal MET</w:t>
            </w:r>
          </w:p>
        </w:tc>
      </w:tr>
      <w:tr>
        <w:tc>
          <w:tcPr>
            <w:tcW w:w="2340" w:type="dxa"/>
          </w:tcPr>
          <w:p>
            <w:pPr/>
            <w:r>
              <w:t xml:space="preserve">8</w:t>
            </w:r>
          </w:p>
        </w:tc>
        <w:tc>
          <w:tcPr>
            <w:tcW w:w="2340" w:type="dxa"/>
          </w:tcPr>
          <w:p>
            <w:pPr/>
            <w:r>
              <w:t xml:space="preserve">Temps présent et nuages</w:t>
            </w:r>
          </w:p>
        </w:tc>
        <w:tc>
          <w:tcPr>
            <w:tcW w:w="2340" w:type="dxa"/>
          </w:tcPr>
          <w:p>
            <w:pPr/>
            <w:r>
              <w:t xml:space="preserve">Phénomènes, nébulosité, hauteurs, CB / TCU</w:t>
            </w:r>
          </w:p>
        </w:tc>
        <w:tc>
          <w:tcPr>
            <w:tcW w:w="2340" w:type="dxa"/>
          </w:tcPr>
          <w:p>
            <w:pPr/>
            <w:r>
              <w:t xml:space="preserve">Terminal MET</w:t>
            </w:r>
          </w:p>
        </w:tc>
      </w:tr>
      <w:tr>
        <w:tc>
          <w:tcPr>
            <w:tcW w:w="2340" w:type="dxa"/>
          </w:tcPr>
          <w:p>
            <w:pPr/>
            <w:r>
              <w:t xml:space="preserve">9</w:t>
            </w:r>
          </w:p>
        </w:tc>
        <w:tc>
          <w:tcPr>
            <w:tcW w:w="2340" w:type="dxa"/>
          </w:tcPr>
          <w:p>
            <w:pPr/>
            <w:r>
              <w:t xml:space="preserve">Température / point de rosée</w:t>
            </w:r>
          </w:p>
        </w:tc>
        <w:tc>
          <w:tcPr>
            <w:tcW w:w="2340" w:type="dxa"/>
          </w:tcPr>
          <w:p>
            <w:pPr/>
            <w:r>
              <w:t xml:space="preserve">Valeurs et signes (moins) corrects</w:t>
            </w:r>
          </w:p>
        </w:tc>
        <w:tc>
          <w:tcPr>
            <w:tcW w:w="2340" w:type="dxa"/>
          </w:tcPr>
          <w:p>
            <w:pPr/>
            <w:r>
              <w:t xml:space="preserve">Terminal MET</w:t>
            </w:r>
          </w:p>
        </w:tc>
      </w:tr>
      <w:tr>
        <w:tc>
          <w:tcPr>
            <w:tcW w:w="2340" w:type="dxa"/>
          </w:tcPr>
          <w:p>
            <w:pPr/>
            <w:r>
              <w:t xml:space="preserve">10</w:t>
            </w:r>
          </w:p>
        </w:tc>
        <w:tc>
          <w:tcPr>
            <w:tcW w:w="2340" w:type="dxa"/>
          </w:tcPr>
          <w:p>
            <w:pPr/>
            <w:r>
              <w:t xml:space="preserve">QNH (et QFE si publié)</w:t>
            </w:r>
          </w:p>
        </w:tc>
        <w:tc>
          <w:tcPr>
            <w:tcW w:w="2340" w:type="dxa"/>
          </w:tcPr>
          <w:p>
            <w:pPr/>
            <w:r>
              <w:t xml:space="preserve">Valeur exacte, unité hPa, cohérente avec le précédent</w:t>
            </w:r>
          </w:p>
        </w:tc>
        <w:tc>
          <w:tcPr>
            <w:tcW w:w="2340" w:type="dxa"/>
          </w:tcPr>
          <w:p>
            <w:pPr/>
            <w:r>
              <w:t xml:space="preserve">Terminal MET</w:t>
            </w:r>
          </w:p>
        </w:tc>
      </w:tr>
      <w:tr>
        <w:tc>
          <w:tcPr>
            <w:tcW w:w="2340" w:type="dxa"/>
          </w:tcPr>
          <w:p>
            <w:pPr/>
            <w:r>
              <w:t xml:space="preserve">11</w:t>
            </w:r>
          </w:p>
        </w:tc>
        <w:tc>
          <w:tcPr>
            <w:tcW w:w="2340" w:type="dxa"/>
          </w:tcPr>
          <w:p>
            <w:pPr/>
            <w:r>
              <w:t xml:space="preserve">Tendance (TREND)</w:t>
            </w:r>
          </w:p>
        </w:tc>
        <w:tc>
          <w:tcPr>
            <w:tcW w:w="2340" w:type="dxa"/>
          </w:tcPr>
          <w:p>
            <w:pPr/>
            <w:r>
              <w:t xml:space="preserve">Reprise intégrale si émise</w:t>
            </w:r>
          </w:p>
        </w:tc>
        <w:tc>
          <w:tcPr>
            <w:tcW w:w="2340" w:type="dxa"/>
          </w:tcPr>
          <w:p>
            <w:pPr/>
            <w:r>
              <w:t xml:space="preserve">Terminal MET</w:t>
            </w:r>
          </w:p>
        </w:tc>
      </w:tr>
      <w:tr>
        <w:tc>
          <w:tcPr>
            <w:tcW w:w="2340" w:type="dxa"/>
          </w:tcPr>
          <w:p>
            <w:pPr/>
            <w:r>
              <w:t xml:space="preserve">12</w:t>
            </w:r>
          </w:p>
        </w:tc>
        <w:tc>
          <w:tcPr>
            <w:tcW w:w="2340" w:type="dxa"/>
          </w:tcPr>
          <w:p>
            <w:pPr/>
            <w:r>
              <w:t xml:space="preserve">NOTAM et informations essentielles</w:t>
            </w:r>
          </w:p>
        </w:tc>
        <w:tc>
          <w:tcPr>
            <w:tcW w:w="2340" w:type="dxa"/>
          </w:tcPr>
          <w:p>
            <w:pPr/>
            <w:r>
              <w:t xml:space="preserve">Seuls les NOTAM en vigueur à l'heure de diffusion ; aides en panne, travaux, péril animalier</w:t>
            </w:r>
          </w:p>
        </w:tc>
        <w:tc>
          <w:tcPr>
            <w:tcW w:w="2340" w:type="dxa"/>
          </w:tcPr>
          <w:p>
            <w:pPr/>
            <w:r>
              <w:t xml:space="preserve">Bureau NOTAM, CNS</w:t>
            </w:r>
          </w:p>
        </w:tc>
      </w:tr>
      <w:tr>
        <w:tc>
          <w:tcPr>
            <w:tcW w:w="2340" w:type="dxa"/>
          </w:tcPr>
          <w:p>
            <w:pPr/>
            <w:r>
              <w:t xml:space="preserve">13</w:t>
            </w:r>
          </w:p>
        </w:tc>
        <w:tc>
          <w:tcPr>
            <w:tcW w:w="2340" w:type="dxa"/>
          </w:tcPr>
          <w:p>
            <w:pPr/>
            <w:r>
              <w:t xml:space="preserve">Niveau de transition</w:t>
            </w:r>
          </w:p>
        </w:tc>
        <w:tc>
          <w:tcPr>
            <w:tcW w:w="2340" w:type="dxa"/>
          </w:tcPr>
          <w:p>
            <w:pPr/>
            <w:r>
              <w:t xml:space="preserve">Cohérent avec le QNH selon la table locale</w:t>
            </w:r>
          </w:p>
        </w:tc>
        <w:tc>
          <w:tcPr>
            <w:tcW w:w="2340" w:type="dxa"/>
          </w:tcPr>
          <w:p>
            <w:pPr/>
            <w:r>
              <w:t xml:space="preserve">Table locale</w:t>
            </w:r>
          </w:p>
        </w:tc>
      </w:tr>
      <w:tr>
        <w:tc>
          <w:tcPr>
            <w:tcW w:w="2340" w:type="dxa"/>
          </w:tcPr>
          <w:p>
            <w:pPr/>
            <w:r>
              <w:t xml:space="preserve">14</w:t>
            </w:r>
          </w:p>
        </w:tc>
        <w:tc>
          <w:tcPr>
            <w:tcW w:w="2340" w:type="dxa"/>
          </w:tcPr>
          <w:p>
            <w:pPr/>
            <w:r>
              <w:t xml:space="preserve">Consigne finale</w:t>
            </w:r>
          </w:p>
        </w:tc>
        <w:tc>
          <w:tcPr>
            <w:tcW w:w="2340" w:type="dxa"/>
          </w:tcPr>
          <w:p>
            <w:pPr/>
            <w:r>
              <w:t xml:space="preserve">« Accusez réception de l'information [lettre] au premier contact », même lettre qu'au point 2</w:t>
            </w:r>
          </w:p>
        </w:tc>
        <w:tc>
          <w:tcPr>
            <w:tcW w:w="2340" w:type="dxa"/>
          </w:tcPr>
          <w:p>
            <w:pPr/>
            <w:r>
              <w:t xml:space="preserve">Modèle</w:t>
            </w:r>
          </w:p>
        </w:tc>
      </w:tr>
      <w:tr>
        <w:tc>
          <w:tcPr>
            <w:tcW w:w="2340" w:type="dxa"/>
          </w:tcPr>
          <w:p>
            <w:pPr/>
            <w:r>
              <w:t xml:space="preserve">15</w:t>
            </w:r>
          </w:p>
        </w:tc>
        <w:tc>
          <w:tcPr>
            <w:tcW w:w="2340" w:type="dxa"/>
          </w:tcPr>
          <w:p>
            <w:pPr/>
            <w:r>
              <w:t xml:space="preserve">Forme</w:t>
            </w:r>
          </w:p>
        </w:tc>
        <w:tc>
          <w:tcPr>
            <w:tcW w:w="2340" w:type="dxa"/>
          </w:tcPr>
          <w:p>
            <w:pPr/>
            <w:r>
              <w:t xml:space="preserve">Ordre PANS-ATM, phraséologie normalisée, aucune abréviation ambiguë, durée de lecture ≤ 30 s si possible</w:t>
            </w:r>
          </w:p>
        </w:tc>
        <w:tc>
          <w:tcPr>
            <w:tcW w:w="2340" w:type="dxa"/>
          </w:tcPr>
          <w:p>
            <w:pPr/>
            <w:r>
              <w:t xml:space="preserve">Doc 4444, Doc 9432</w:t>
            </w:r>
          </w:p>
        </w:tc>
      </w:tr>
      <w:tr>
        <w:tc>
          <w:tcPr>
            <w:tcW w:w="2340" w:type="dxa"/>
          </w:tcPr>
          <w:p>
            <w:pPr/>
            <w:r>
              <w:t xml:space="preserve">16</w:t>
            </w:r>
          </w:p>
        </w:tc>
        <w:tc>
          <w:tcPr>
            <w:tcW w:w="2340" w:type="dxa"/>
          </w:tcPr>
          <w:p>
            <w:pPr/>
            <w:r>
              <w:t xml:space="preserve">Cohérence générale</w:t>
            </w:r>
          </w:p>
        </w:tc>
        <w:tc>
          <w:tcPr>
            <w:tcW w:w="2340" w:type="dxa"/>
          </w:tcPr>
          <w:p>
            <w:pPr/>
            <w:r>
              <w:t xml:space="preserve">Pas de contradiction entre éléments (ex. piste en service et vent arrière fort)</w:t>
            </w:r>
          </w:p>
        </w:tc>
        <w:tc>
          <w:tcPr>
            <w:tcW w:w="2340" w:type="dxa"/>
          </w:tcPr>
          <w:p>
            <w:pPr/>
            <w:r>
              <w:t xml:space="preserve">Jugement du vérificateur</w:t>
            </w:r>
          </w:p>
        </w:tc>
      </w:tr>
    </w:tbl>
    <w:p>
      <w:pPr/>
      <w:r>
        <w:rPr>
          <w:b/>
        </w:rPr>
        <w:t xml:space="preserve">Visa :</w:t>
      </w:r>
      <w:r>
        <w:t xml:space="preserve"> nom du vérificateur, heure UTC, résultat (conforme / rejeté + motif).</w:t>
      </w:r>
    </w:p>
    <w:p>
      <w:pPr>
        <w:pStyle w:val="Heading2"/>
      </w:pPr>
      <w:r>
        <w:t xml:space="preserve">7. Délais à respecter</w:t>
      </w:r>
    </w:p>
    <w:p>
      <w:pPr/>
      <w:r>
        <w:t xml:space="preserve">Les valeurs ci-dessous sont des objectifs indicatifs, à confirmer dans la lettre d'accord AIM / ATS / MET de l'aérodrome.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Étape</w:t>
            </w:r>
          </w:p>
        </w:tc>
        <w:tc>
          <w:tcPr>
            <w:tcW w:w="4680" w:type="dxa"/>
            <w:shd w:val="clear" w:color="auto" w:fill="F2F2F2"/>
          </w:tcPr>
          <w:p>
            <w:pPr/>
            <w:r>
              <w:t xml:space="preserve">Objectif (à partir de la détection)</w:t>
            </w:r>
          </w:p>
        </w:tc>
      </w:tr>
      <w:tr>
        <w:tc>
          <w:tcPr>
            <w:tcW w:w="4680" w:type="dxa"/>
          </w:tcPr>
          <w:p>
            <w:pPr/>
            <w:r>
              <w:t xml:space="preserve">Rédaction et autocontrôle (étapes 1 à 4)</w:t>
            </w:r>
          </w:p>
        </w:tc>
        <w:tc>
          <w:tcPr>
            <w:tcW w:w="4680" w:type="dxa"/>
          </w:tcPr>
          <w:p>
            <w:pPr/>
            <w:r>
              <w:t xml:space="preserve">3 min</w:t>
            </w:r>
          </w:p>
        </w:tc>
      </w:tr>
      <w:tr>
        <w:tc>
          <w:tcPr>
            <w:tcW w:w="4680" w:type="dxa"/>
          </w:tcPr>
          <w:p>
            <w:pPr/>
            <w:r>
              <w:t xml:space="preserve">Vérification par le second agent (étape 5)</w:t>
            </w:r>
          </w:p>
        </w:tc>
        <w:tc>
          <w:tcPr>
            <w:tcW w:w="4680" w:type="dxa"/>
          </w:tcPr>
          <w:p>
            <w:pPr/>
            <w:r>
              <w:t xml:space="preserve">2 min</w:t>
            </w:r>
          </w:p>
        </w:tc>
      </w:tr>
      <w:tr>
        <w:tc>
          <w:tcPr>
            <w:tcW w:w="4680" w:type="dxa"/>
          </w:tcPr>
          <w:p>
            <w:pPr/>
            <w:r>
              <w:t xml:space="preserve">Validation ATCO (étape 7)</w:t>
            </w:r>
          </w:p>
        </w:tc>
        <w:tc>
          <w:tcPr>
            <w:tcW w:w="4680" w:type="dxa"/>
          </w:tcPr>
          <w:p>
            <w:pPr/>
            <w:r>
              <w:t xml:space="preserve">2 min</w:t>
            </w:r>
          </w:p>
        </w:tc>
      </w:tr>
      <w:tr>
        <w:tc>
          <w:tcPr>
            <w:tcW w:w="4680" w:type="dxa"/>
          </w:tcPr>
          <w:p>
            <w:pPr/>
            <w:r>
              <w:t xml:space="preserve">Diffusion après réception d'un METAR régulier</w:t>
            </w:r>
          </w:p>
        </w:tc>
        <w:tc>
          <w:tcPr>
            <w:tcW w:w="4680" w:type="dxa"/>
          </w:tcPr>
          <w:p>
            <w:pPr/>
            <w:r>
              <w:t xml:space="preserve">10 min au plus</w:t>
            </w:r>
          </w:p>
        </w:tc>
      </w:tr>
      <w:tr>
        <w:tc>
          <w:tcPr>
            <w:tcW w:w="4680" w:type="dxa"/>
          </w:tcPr>
          <w:p>
            <w:pPr/>
            <w:r>
              <w:t xml:space="preserve">Diffusion après SPECI, changement de piste ou panne d'aide</w:t>
            </w:r>
          </w:p>
        </w:tc>
        <w:tc>
          <w:tcPr>
            <w:tcW w:w="4680" w:type="dxa"/>
          </w:tcPr>
          <w:p>
            <w:pPr/>
            <w:r>
              <w:t xml:space="preserve">5 min au plus</w:t>
            </w:r>
          </w:p>
        </w:tc>
      </w:tr>
    </w:tbl>
    <w:p>
      <w:pPr/>
      <w:r>
        <w:t xml:space="preserve">Si l'objectif ne peut être tenu, l'ATCO transmet directement l'information modifiée aux aéronefs par radio en attendant la nouvelle version.</w:t>
      </w:r>
    </w:p>
    <w:p>
      <w:pPr>
        <w:pStyle w:val="Heading2"/>
      </w:pPr>
      <w:r>
        <w:t xml:space="preserve">8. Anomalies, rejets et mode dégradé</w:t>
      </w:r>
    </w:p>
    <w:p>
      <w:pPr/>
      <w:r>
        <w:t xml:space="preserve">En cas de doute, on ne diffuse pas : l'information est donnée par l'ATCO en radio jusqu'à correction.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Conduite à tenir</w:t>
            </w:r>
          </w:p>
        </w:tc>
      </w:tr>
      <w:tr>
        <w:tc>
          <w:tcPr>
            <w:tcW w:w="4680" w:type="dxa"/>
          </w:tcPr>
          <w:p>
            <w:pPr/>
            <w:r>
              <w:t xml:space="preserve">Rejet par le vérificateur</w:t>
            </w:r>
          </w:p>
        </w:tc>
        <w:tc>
          <w:tcPr>
            <w:tcW w:w="4680" w:type="dxa"/>
          </w:tcPr>
          <w:p>
            <w:pPr/>
            <w:r>
              <w:t xml:space="preserve">Motif écrit au registre ; correction par le rédacteur ; nouvelle vérification complète.</w:t>
            </w:r>
          </w:p>
        </w:tc>
      </w:tr>
      <w:tr>
        <w:tc>
          <w:tcPr>
            <w:tcW w:w="4680" w:type="dxa"/>
          </w:tcPr>
          <w:p>
            <w:pPr/>
            <w:r>
              <w:t xml:space="preserve">Rejet par l'ATCO</w:t>
            </w:r>
          </w:p>
        </w:tc>
        <w:tc>
          <w:tcPr>
            <w:tcW w:w="4680" w:type="dxa"/>
          </w:tcPr>
          <w:p>
            <w:pPr/>
            <w:r>
              <w:t xml:space="preserve">Motif noté ; correction ; nouvelle vérification AIM complète avant renvoi.</w:t>
            </w:r>
          </w:p>
        </w:tc>
      </w:tr>
      <w:tr>
        <w:tc>
          <w:tcPr>
            <w:tcW w:w="4680" w:type="dxa"/>
          </w:tcPr>
          <w:p>
            <w:pPr/>
            <w:r>
              <w:t xml:space="preserve">Erreur découverte après diffusion</w:t>
            </w:r>
          </w:p>
        </w:tc>
        <w:tc>
          <w:tcPr>
            <w:tcW w:w="4680" w:type="dxa"/>
          </w:tcPr>
          <w:p>
            <w:pPr/>
            <w:r>
              <w:t xml:space="preserve">Information immédiate de l'ATCO, qui informe les aéronefs concernés ; nouvelle version avec lettre suivante ; compte rendu d'événement.</w:t>
            </w:r>
          </w:p>
        </w:tc>
      </w:tr>
      <w:tr>
        <w:tc>
          <w:tcPr>
            <w:tcW w:w="4680" w:type="dxa"/>
          </w:tcPr>
          <w:p>
            <w:pPr/>
            <w:r>
              <w:t xml:space="preserve">Un seul agent AIM disponible</w:t>
            </w:r>
          </w:p>
        </w:tc>
        <w:tc>
          <w:tcPr>
            <w:tcW w:w="4680" w:type="dxa"/>
          </w:tcPr>
          <w:p>
            <w:pPr/>
            <w:r>
              <w:t xml:space="preserve">Vérification par le chef de quart ou, à défaut, lecture intégrale contradictoire avec l'ATCO ; mention au registre.</w:t>
            </w:r>
          </w:p>
        </w:tc>
      </w:tr>
      <w:tr>
        <w:tc>
          <w:tcPr>
            <w:tcW w:w="4680" w:type="dxa"/>
          </w:tcPr>
          <w:p>
            <w:pPr/>
            <w:r>
              <w:t xml:space="preserve">Panne du système de saisie ou de diffusion</w:t>
            </w:r>
          </w:p>
        </w:tc>
        <w:tc>
          <w:tcPr>
            <w:tcW w:w="4680" w:type="dxa"/>
          </w:tcPr>
          <w:p>
            <w:pPr/>
            <w:r>
              <w:t xml:space="preserve">Message rédigé sur formulaire papier (annexe B), même circuit de vérification ; enregistrement vocal manuel ; information du CNS.</w:t>
            </w:r>
          </w:p>
        </w:tc>
      </w:tr>
      <w:tr>
        <w:tc>
          <w:tcPr>
            <w:tcW w:w="4680" w:type="dxa"/>
          </w:tcPr>
          <w:p>
            <w:pPr/>
            <w:r>
              <w:t xml:space="preserve">ATIS indisponible</w:t>
            </w:r>
          </w:p>
        </w:tc>
        <w:tc>
          <w:tcPr>
            <w:tcW w:w="4680" w:type="dxa"/>
          </w:tcPr>
          <w:p>
            <w:pPr/>
            <w:r>
              <w:t xml:space="preserve">L'ATCO en informe les aéronefs et transmet les informations par radio ; NOTAM si l'indisponibilité se prolonge selon les critères locaux.</w:t>
            </w:r>
          </w:p>
        </w:tc>
      </w:tr>
      <w:tr>
        <w:tc>
          <w:tcPr>
            <w:tcW w:w="4680" w:type="dxa"/>
          </w:tcPr>
          <w:p>
            <w:pPr/>
            <w:r>
              <w:t xml:space="preserve">Désaccord AIM / ATCO</w:t>
            </w:r>
          </w:p>
        </w:tc>
        <w:tc>
          <w:tcPr>
            <w:tcW w:w="4680" w:type="dxa"/>
          </w:tcPr>
          <w:p>
            <w:pPr/>
            <w:r>
              <w:t xml:space="preserve">L'ATCO décide pour la sécurité immédiate ; le chef de quart arbitre et consigne le désaccord.</w:t>
            </w:r>
          </w:p>
        </w:tc>
      </w:tr>
    </w:tbl>
    <w:p>
      <w:pPr>
        <w:pStyle w:val="Heading2"/>
      </w:pPr>
      <w:r>
        <w:t xml:space="preserve">9. Traçabilité et amélioration continue</w:t>
      </w:r>
    </w:p>
    <w:p>
      <w:pPr/>
      <w:r>
        <w:t xml:space="preserve">Chaque version de message laisse une trace complète, du déclencheur à la diffusion.</w:t>
      </w:r>
    </w:p>
    <w:p>
      <w:pPr>
        <w:pStyle w:val="ListParagraph"/>
        <w:numPr>
          <w:ilvl w:val="0"/>
          <w:numId w:val="8"/>
        </w:numPr>
      </w:pPr>
      <w:r>
        <w:rPr>
          <w:b/>
        </w:rPr>
        <w:t xml:space="preserve">Registre ATIS</w:t>
      </w:r>
      <w:r>
        <w:t xml:space="preserve"> (papier ou électronique), une ligne par version : lettre, déclencheur, heure de détection, rédacteur, vérificateur et heure de visa, heure de transmission, ATCO et heure de validation, heure de diffusion, rejets et motifs.</w:t>
      </w:r>
    </w:p>
    <w:p>
      <w:pPr>
        <w:pStyle w:val="ListParagraph"/>
        <w:numPr>
          <w:ilvl w:val="0"/>
          <w:numId w:val="8"/>
        </w:numPr>
      </w:pPr>
      <w:r>
        <w:rPr>
          <w:b/>
        </w:rPr>
        <w:t xml:space="preserve">Archivage</w:t>
      </w:r>
      <w:r>
        <w:t xml:space="preserve"> du texte et de l'enregistrement vocal de chaque version pendant la durée fixée par la réglementation nationale (au minimum 30 jours, à confirmer).</w:t>
      </w:r>
    </w:p>
    <w:p>
      <w:pPr>
        <w:pStyle w:val="ListParagraph"/>
        <w:numPr>
          <w:ilvl w:val="0"/>
          <w:numId w:val="8"/>
        </w:numPr>
      </w:pPr>
      <w:r>
        <w:rPr>
          <w:b/>
        </w:rPr>
        <w:t xml:space="preserve">Signature</w:t>
      </w:r>
      <w:r>
        <w:t xml:space="preserve"> du registre par le chef de quart AIM en fin de quart.</w:t>
      </w:r>
    </w:p>
    <w:p>
      <w:pPr>
        <w:pStyle w:val="ListParagraph"/>
        <w:numPr>
          <w:ilvl w:val="0"/>
          <w:numId w:val="8"/>
        </w:numPr>
      </w:pPr>
      <w:r>
        <w:rPr>
          <w:b/>
        </w:rPr>
        <w:t xml:space="preserve">Comptes rendus</w:t>
      </w:r>
      <w:r>
        <w:t xml:space="preserve"> de toute erreur diffusée via le système de notification d'événements de sécurité.</w:t>
      </w:r>
    </w:p>
    <w:p>
      <w:pPr>
        <w:pStyle w:val="ListParagraph"/>
        <w:numPr>
          <w:ilvl w:val="0"/>
          <w:numId w:val="8"/>
        </w:numPr>
      </w:pPr>
      <w:r>
        <w:rPr>
          <w:b/>
        </w:rPr>
        <w:t xml:space="preserve">Revue mensuelle</w:t>
      </w:r>
      <w:r>
        <w:t xml:space="preserve"> : nombre de versions, taux de rejet par étape, délais moyens, erreurs diffusées ; actions correctives et mise à jour de la procédure.</w:t>
      </w:r>
    </w:p>
    <w:p>
      <w:pPr>
        <w:pStyle w:val="ListParagraph"/>
        <w:numPr>
          <w:ilvl w:val="0"/>
          <w:numId w:val="8"/>
        </w:numPr>
      </w:pPr>
      <w:r>
        <w:rPr>
          <w:b/>
        </w:rPr>
        <w:t xml:space="preserve">Formation</w:t>
      </w:r>
      <w:r>
        <w:t xml:space="preserve"> : briefing initial sur la procédure et recyclage annuel, avec exercices de mode dégradé.</w:t>
      </w:r>
    </w:p>
    <w:p>
      <w:pPr>
        <w:pStyle w:val="Heading2"/>
      </w:pPr>
      <w:r>
        <w:t xml:space="preserve">10. Annexes</w:t>
      </w:r>
    </w:p>
    <w:p>
      <w:pPr>
        <w:pStyle w:val="Heading3"/>
      </w:pPr>
      <w:r>
        <w:t xml:space="preserve">Annexe A – Modèle de message ATIS (arrivées et départs)</w:t>
      </w:r>
    </w:p>
    <w:p>
      <w:pPr>
        <w:pStyle w:val="Code"/>
      </w:pPr>
      <w:r>
        <w:t xml:space="preserve">[NOM AÉRODROME] INFORMATION [LETTRE], [HHMM] UTC.</w:t>
        <w:br/>
        <w:t xml:space="preserve">PISTE EN SERVICE [XX], APPROCHE [ILS / RNP / VOR] [XX].</w:t>
        <w:br/>
        <w:t xml:space="preserve">ÉTAT DE PISTE : [RWYCC / RCR ou SURFACE SÈCHE].</w:t>
        <w:br/>
        <w:t xml:space="preserve">[NOTAM / INFORMATIONS ESSENTIELLES : aides en panne, travaux, péril animalier].</w:t>
        <w:br/>
        <w:t xml:space="preserve">NIVEAU DE TRANSITION [XX].</w:t>
        <w:br/>
        <w:t xml:space="preserve">VENT [DDD] DEGRÉS [VV] NŒUDS [RAFALES / VARIATIONS].</w:t>
        <w:br/>
        <w:t xml:space="preserve">VISIBILITÉ [VVVV] [RVR].</w:t>
        <w:br/>
        <w:t xml:space="preserve">[TEMPS PRÉSENT]. NUAGES [NÉBULOSITÉ] [HAUTEUR] PIEDS [CB / TCU].</w:t>
        <w:br/>
        <w:t xml:space="preserve">TEMPÉRATURE [TT], POINT DE ROSÉE [TT].</w:t>
        <w:br/>
        <w:t xml:space="preserve">QNH [QQQQ] HECTOPASCALS.</w:t>
        <w:br/>
        <w:t xml:space="preserve">TENDANCE [TREND].</w:t>
        <w:br/>
        <w:t xml:space="preserve">ACCUSEZ RÉCEPTION DE L'INFORMATION [LETTRE] AU PREMIER CONTACT AVEC [ORGANISME].</w:t>
      </w:r>
    </w:p>
    <w:p>
      <w:pPr>
        <w:pStyle w:val="Heading3"/>
      </w:pPr>
      <w:r>
        <w:t xml:space="preserve">Annexe B – Fiche de vérification et de visa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Rubrique</w:t>
            </w:r>
          </w:p>
        </w:tc>
        <w:tc>
          <w:tcPr>
            <w:tcW w:w="4680" w:type="dxa"/>
            <w:shd w:val="clear" w:color="auto" w:fill="F2F2F2"/>
          </w:tcPr>
          <w:p>
            <w:pPr/>
            <w:r>
              <w:t xml:space="preserve">À renseigner</w:t>
            </w:r>
          </w:p>
        </w:tc>
      </w:tr>
      <w:tr>
        <w:tc>
          <w:tcPr>
            <w:tcW w:w="4680" w:type="dxa"/>
          </w:tcPr>
          <w:p>
            <w:pPr/>
            <w:r>
              <w:t xml:space="preserve">Lettre / heure d'observation</w:t>
            </w:r>
          </w:p>
        </w:tc>
        <w:tc>
          <w:tcPr>
            <w:tcW w:w="4680" w:type="dxa"/>
          </w:tcPr>
          <w:p>
            <w:pPr/>
          </w:p>
        </w:tc>
      </w:tr>
      <w:tr>
        <w:tc>
          <w:tcPr>
            <w:tcW w:w="4680" w:type="dxa"/>
          </w:tcPr>
          <w:p>
            <w:pPr/>
            <w:r>
              <w:t xml:space="preserve">Déclencheur / heure de détection</w:t>
            </w:r>
          </w:p>
        </w:tc>
        <w:tc>
          <w:tcPr>
            <w:tcW w:w="4680" w:type="dxa"/>
          </w:tcPr>
          <w:p>
            <w:pPr/>
          </w:p>
        </w:tc>
      </w:tr>
      <w:tr>
        <w:tc>
          <w:tcPr>
            <w:tcW w:w="4680" w:type="dxa"/>
          </w:tcPr>
          <w:p>
            <w:pPr/>
            <w:r>
              <w:t xml:space="preserve">Rédacteur (nom, heure)</w:t>
            </w:r>
          </w:p>
        </w:tc>
        <w:tc>
          <w:tcPr>
            <w:tcW w:w="4680" w:type="dxa"/>
          </w:tcPr>
          <w:p>
            <w:pPr/>
          </w:p>
        </w:tc>
      </w:tr>
      <w:tr>
        <w:tc>
          <w:tcPr>
            <w:tcW w:w="4680" w:type="dxa"/>
          </w:tcPr>
          <w:p>
            <w:pPr/>
            <w:r>
              <w:t xml:space="preserve">Check-list points 1 à 16</w:t>
            </w:r>
          </w:p>
        </w:tc>
        <w:tc>
          <w:tcPr>
            <w:tcW w:w="4680" w:type="dxa"/>
          </w:tcPr>
          <w:p>
            <w:pPr/>
            <w:r>
              <w:t xml:space="preserve">Conforme / non conforme (n° du point)</w:t>
            </w:r>
          </w:p>
        </w:tc>
      </w:tr>
      <w:tr>
        <w:tc>
          <w:tcPr>
            <w:tcW w:w="4680" w:type="dxa"/>
          </w:tcPr>
          <w:p>
            <w:pPr/>
            <w:r>
              <w:t xml:space="preserve">Vérificateur (nom, heure, visa)</w:t>
            </w:r>
          </w:p>
        </w:tc>
        <w:tc>
          <w:tcPr>
            <w:tcW w:w="4680" w:type="dxa"/>
          </w:tcPr>
          <w:p>
            <w:pPr/>
          </w:p>
        </w:tc>
      </w:tr>
      <w:tr>
        <w:tc>
          <w:tcPr>
            <w:tcW w:w="4680" w:type="dxa"/>
          </w:tcPr>
          <w:p>
            <w:pPr/>
            <w:r>
              <w:t xml:space="preserve">Transmission à l'ATCO (heure, canal)</w:t>
            </w:r>
          </w:p>
        </w:tc>
        <w:tc>
          <w:tcPr>
            <w:tcW w:w="4680" w:type="dxa"/>
          </w:tcPr>
          <w:p>
            <w:pPr/>
          </w:p>
        </w:tc>
      </w:tr>
      <w:tr>
        <w:tc>
          <w:tcPr>
            <w:tcW w:w="4680" w:type="dxa"/>
          </w:tcPr>
          <w:p>
            <w:pPr/>
            <w:r>
              <w:t xml:space="preserve">ATCO (nom, heure, validé / refusé + motif)</w:t>
            </w:r>
          </w:p>
        </w:tc>
        <w:tc>
          <w:tcPr>
            <w:tcW w:w="4680" w:type="dxa"/>
          </w:tcPr>
          <w:p>
            <w:pPr/>
          </w:p>
        </w:tc>
      </w:tr>
      <w:tr>
        <w:tc>
          <w:tcPr>
            <w:tcW w:w="4680" w:type="dxa"/>
          </w:tcPr>
          <w:p>
            <w:pPr/>
            <w:r>
              <w:t xml:space="preserve">Heure de diffusion / écoute de contrôle faite</w:t>
            </w:r>
          </w:p>
        </w:tc>
        <w:tc>
          <w:tcPr>
            <w:tcW w:w="4680" w:type="dxa"/>
          </w:tcPr>
          <w:p>
            <w:pPr/>
          </w:p>
        </w:tc>
      </w:tr>
      <w:tr>
        <w:tc>
          <w:tcPr>
            <w:tcW w:w="4680" w:type="dxa"/>
          </w:tcPr>
          <w:p>
            <w:pPr/>
            <w:r>
              <w:t xml:space="preserve">Observations</w:t>
            </w:r>
          </w:p>
        </w:tc>
        <w:tc>
          <w:tcPr>
            <w:tcW w:w="4680" w:type="dxa"/>
          </w:tcPr>
          <w:p>
            <w:pPr/>
          </w:p>
        </w:tc>
      </w:tr>
    </w:tbl>
    <w:p>
      <w:pPr>
        <w:pStyle w:val="Heading3"/>
      </w:pPr>
      <w:r>
        <w:t xml:space="preserve">Annexe C – Logigramme</w:t>
      </w:r>
    </w:p>
    <w:p>
      <w:pPr/>
      <w:r>
        <w:t xml:space="preserve">Voir le schéma du circuit de validation en section 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Procédure de mise à jour des messages ATIS</dc:title>
  <dc:description>Claude Docs node/32db1490-5a75@12 docx-w6</dc:description>
  <cp:revision>12</cp:revision>
</cp:coreProperties>
</file>