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jc w:val="center"/>
      </w:pPr>
      <w:r>
        <w:rPr>
          <w:rFonts w:ascii="Arial" w:cs="Arial" w:eastAsia="Arial" w:hAnsi="Arial"/>
          <w:b/>
          <w:bCs/>
          <w:color w:val="003366"/>
          <w:sz w:val="40"/>
          <w:szCs w:val="40"/>
        </w:rPr>
        <w:t xml:space="preserve">OVERSEER COMPENSATION</w:t>
      </w:r>
    </w:p>
    <w:p>
      <w:pPr>
        <w:spacing w:before="0" w:after="20"/>
        <w:jc w:val="center"/>
      </w:pPr>
      <w:r>
        <w:rPr>
          <w:rFonts w:ascii="Arial" w:cs="Arial" w:eastAsia="Arial" w:hAnsi="Arial"/>
          <w:b/>
          <w:bCs/>
          <w:color w:val="003366"/>
          <w:sz w:val="40"/>
          <w:szCs w:val="40"/>
        </w:rPr>
        <w:t xml:space="preserve">&amp; HAZARD PAY ADDENDUM</w:t>
      </w:r>
    </w:p>
    <w:p>
      <w:pPr>
        <w:spacing w:before="40" w:after="60"/>
        <w:jc w:val="center"/>
      </w:pPr>
      <w:r>
        <w:rPr>
          <w:rFonts w:ascii="Arial" w:cs="Arial" w:eastAsia="Arial" w:hAnsi="Arial"/>
          <w:color w:val="666666"/>
          <w:sz w:val="18"/>
          <w:szCs w:val="18"/>
        </w:rPr>
        <w:t xml:space="preserve">VT-HR-COMP-0004  |  Effective: January 2076  |  Status: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8B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RESTRICTED DOCUMENT — HUMAN RESOURCES DIVISION EYES ONLY — UNAUTHORISED ACCESS IS A TERMINABLE OFFENCE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2480"/>
        <w:gridCol w:w="2000"/>
      </w:tblGrid>
      <w:tr>
        <w:tc>
          <w:tcPr>
            <w:tcW w:type="dxa" w:w="3200"/>
            <w:tcBorders>
              <w:top w:val="single" w:color="003366" w:sz="4"/>
              <w:left w:val="single" w:color="003366" w:sz="4"/>
              <w:bottom w:val="single" w:color="003366" w:sz="4"/>
              <w:right w:val="single" w:color="AABBCC" w:sz="2"/>
            </w:tcBorders>
            <w:shd w:fill="EEF3F8" w:val="clear"/>
            <w:tcMar>
              <w:top w:type="dxa" w:w="60"/>
              <w:left w:type="dxa" w:w="120"/>
              <w:bottom w:type="dxa" w:w="60"/>
              <w:right w:type="dxa" w:w="80"/>
            </w:tcMar>
          </w:tcPr>
          <w:p>
            <w:r>
              <w:rPr>
                <w:rFonts w:ascii="Arial" w:cs="Arial" w:eastAsia="Arial" w:hAnsi="Arial"/>
                <w:b/>
                <w:bCs/>
                <w:color w:val="003366"/>
                <w:sz w:val="15"/>
                <w:szCs w:val="15"/>
              </w:rPr>
              <w:t xml:space="preserve">Title</w:t>
            </w:r>
          </w:p>
          <w:p>
            <w:r>
              <w:rPr>
                <w:rFonts w:ascii="Arial" w:cs="Arial" w:eastAsia="Arial" w:hAnsi="Arial"/>
                <w:sz w:val="17"/>
                <w:szCs w:val="17"/>
              </w:rPr>
              <w:t xml:space="preserve">Overseer Compensation &amp; Hazard Pay Addendum</w:t>
            </w:r>
          </w:p>
        </w:tc>
        <w:tc>
          <w:tcPr>
            <w:tcW w:type="dxa" w:w="1680"/>
            <w:tcBorders>
              <w:top w:val="single" w:color="003366" w:sz="4"/>
              <w:left w:val="single" w:color="AABBCC" w:sz="2"/>
              <w:bottom w:val="single" w:color="003366" w:sz="4"/>
              <w:right w:val="single" w:color="AABBCC" w:sz="2"/>
            </w:tcBorders>
            <w:shd w:fill="EEF3F8" w:val="clear"/>
            <w:tcMar>
              <w:top w:type="dxa" w:w="60"/>
              <w:left w:type="dxa" w:w="100"/>
              <w:bottom w:type="dxa" w:w="60"/>
              <w:right w:type="dxa" w:w="80"/>
            </w:tcMar>
          </w:tcPr>
          <w:p>
            <w:r>
              <w:rPr>
                <w:rFonts w:ascii="Arial" w:cs="Arial" w:eastAsia="Arial" w:hAnsi="Arial"/>
                <w:b/>
                <w:bCs/>
                <w:color w:val="003366"/>
                <w:sz w:val="15"/>
                <w:szCs w:val="15"/>
              </w:rPr>
              <w:t xml:space="preserve">Date</w:t>
            </w:r>
          </w:p>
          <w:p>
            <w:r>
              <w:rPr>
                <w:rFonts w:ascii="Arial" w:cs="Arial" w:eastAsia="Arial" w:hAnsi="Arial"/>
                <w:sz w:val="17"/>
                <w:szCs w:val="17"/>
              </w:rPr>
              <w:t xml:space="preserve">January 2076</w:t>
            </w:r>
          </w:p>
        </w:tc>
        <w:tc>
          <w:tcPr>
            <w:tcW w:type="dxa" w:w="2480"/>
            <w:tcBorders>
              <w:top w:val="single" w:color="003366" w:sz="4"/>
              <w:left w:val="single" w:color="AABBCC" w:sz="2"/>
              <w:bottom w:val="single" w:color="003366" w:sz="4"/>
              <w:right w:val="single" w:color="AABBCC" w:sz="2"/>
            </w:tcBorders>
            <w:shd w:fill="EEF3F8" w:val="clear"/>
            <w:tcMar>
              <w:top w:type="dxa" w:w="60"/>
              <w:left w:type="dxa" w:w="100"/>
              <w:bottom w:type="dxa" w:w="60"/>
              <w:right w:type="dxa" w:w="80"/>
            </w:tcMar>
          </w:tcPr>
          <w:p>
            <w:r>
              <w:rPr>
                <w:rFonts w:ascii="Arial" w:cs="Arial" w:eastAsia="Arial" w:hAnsi="Arial"/>
                <w:b/>
                <w:bCs/>
                <w:color w:val="003366"/>
                <w:sz w:val="15"/>
                <w:szCs w:val="15"/>
              </w:rPr>
              <w:t xml:space="preserve">Department / Role</w:t>
            </w:r>
          </w:p>
          <w:p>
            <w:r>
              <w:rPr>
                <w:rFonts w:ascii="Arial" w:cs="Arial" w:eastAsia="Arial" w:hAnsi="Arial"/>
                <w:sz w:val="17"/>
                <w:szCs w:val="17"/>
              </w:rPr>
              <w:t xml:space="preserve">HR</w:t>
            </w:r>
          </w:p>
        </w:tc>
        <w:tc>
          <w:tcPr>
            <w:tcW w:type="dxa" w:w="2000"/>
            <w:tcBorders>
              <w:top w:val="single" w:color="003366" w:sz="4"/>
              <w:left w:val="single" w:color="AABBCC" w:sz="2"/>
              <w:bottom w:val="single" w:color="003366" w:sz="4"/>
              <w:right w:val="single" w:color="003366" w:sz="4"/>
            </w:tcBorders>
            <w:shd w:fill="EEF3F8" w:val="clear"/>
            <w:tcMar>
              <w:top w:type="dxa" w:w="60"/>
              <w:left w:type="dxa" w:w="100"/>
              <w:bottom w:type="dxa" w:w="60"/>
              <w:right w:type="dxa" w:w="100"/>
            </w:tcMar>
          </w:tcPr>
          <w:p>
            <w:r>
              <w:rPr>
                <w:rFonts w:ascii="Arial" w:cs="Arial" w:eastAsia="Arial" w:hAnsi="Arial"/>
                <w:b/>
                <w:bCs/>
                <w:color w:val="003366"/>
                <w:sz w:val="15"/>
                <w:szCs w:val="15"/>
              </w:rPr>
              <w:t xml:space="preserve">Intended Format</w:t>
            </w:r>
          </w:p>
          <w:p>
            <w:r>
              <w:rPr>
                <w:rFonts w:ascii="Arial" w:cs="Arial" w:eastAsia="Arial" w:hAnsi="Arial"/>
                <w:sz w:val="17"/>
                <w:szCs w:val="17"/>
              </w:rPr>
              <w:t xml:space="preserve">Word (.docx)</w:t>
            </w:r>
          </w:p>
        </w:tc>
      </w:tr>
    </w:tbl>
    <w:p>
      <w:pPr>
        <w:spacing w:before="160"/>
      </w:pPr>
    </w:p>
    <w:p>
      <w:pPr>
        <w:pStyle w:val="Heading1"/>
      </w:pPr>
      <w:r>
        <w:rPr>
          <w:rFonts w:ascii="Arial" w:cs="Arial" w:eastAsia="Arial" w:hAnsi="Arial"/>
          <w:b/>
          <w:bCs/>
          <w:color w:val="003366"/>
          <w:sz w:val="28"/>
          <w:szCs w:val="28"/>
        </w:rPr>
        <w:t xml:space="preserve">1. PURPOSE AND APPLICABILITY</w:t>
      </w:r>
    </w:p>
    <w:p>
      <w:pPr>
        <w:spacing w:before="60" w:after="80"/>
        <w:jc w:val="both"/>
      </w:pPr>
      <w:r>
        <w:rPr>
          <w:rFonts w:ascii="Arial" w:cs="Arial" w:eastAsia="Arial" w:hAnsi="Arial"/>
          <w:sz w:val="20"/>
          <w:szCs w:val="20"/>
        </w:rPr>
        <w:t xml:space="preserve">This Addendum establishes the official compensation framework for Vault leadership and supervisory personnel. It is intended exclusively for review by credentialed Human Resources staff operating under Security Clearance Level HR-3 or above. If you are reading this document and do not hold the aforementioned clearance, please report yourself to the nearest security kiosk. Vault-Tec appreciates your honesty and cannot guarantee your continued assignment to your current residential floor.</w:t>
      </w:r>
    </w:p>
    <w:p>
      <w:pPr>
        <w:spacing w:before="60" w:after="80"/>
        <w:jc w:val="both"/>
      </w:pPr>
      <w:r>
        <w:rPr>
          <w:rFonts w:ascii="Arial" w:cs="Arial" w:eastAsia="Arial" w:hAnsi="Arial"/>
          <w:sz w:val="20"/>
          <w:szCs w:val="20"/>
        </w:rPr>
        <w:t xml:space="preserve">All compensation figures outlined herein are denominated in Vault-Tec Standard Ration Units (VT-SRU) and are subject to revision at the sole discretion of the Overseer Council, corporate headquarters, or whichever entity is currently issuing directives from the surface. The latter scenario is, we are pleased to note, delightfully hypothetical.</w:t>
      </w:r>
    </w:p>
    <w:p>
      <w:pPr>
        <w:spacing w:before="160" w:after="60"/>
      </w:pPr>
      <w:r>
        <w:rPr>
          <w:rFonts w:ascii="Arial" w:cs="Arial" w:eastAsia="Arial" w:hAnsi="Arial"/>
          <w:b/>
          <w:bCs/>
          <w:sz w:val="20"/>
          <w:szCs w:val="20"/>
        </w:rPr>
        <w:t xml:space="preserve">This document supersedes: </w:t>
      </w:r>
      <w:r>
        <w:rPr>
          <w:rFonts w:ascii="Arial" w:cs="Arial" w:eastAsia="Arial" w:hAnsi="Arial"/>
          <w:i/>
          <w:iCs/>
          <w:sz w:val="20"/>
          <w:szCs w:val="20"/>
        </w:rPr>
        <w:t xml:space="preserve">VT-HR-COMP-0001, VT-HR-COMP-0002, and the frankly embarrassing VT-HR-COMP-0003 (the 'Incident of the Misplaced Decimal,' Q4 2074).</w:t>
      </w:r>
    </w:p>
    <w:p>
      <w:pPr>
        <w:pStyle w:val="Heading1"/>
      </w:pPr>
      <w:r>
        <w:rPr>
          <w:rFonts w:ascii="Arial" w:cs="Arial" w:eastAsia="Arial" w:hAnsi="Arial"/>
          <w:b/>
          <w:bCs/>
          <w:color w:val="003366"/>
          <w:sz w:val="28"/>
          <w:szCs w:val="28"/>
        </w:rPr>
        <w:t xml:space="preserve">2. COMPENSATION SCHEDULE</w:t>
      </w:r>
    </w:p>
    <w:p>
      <w:pPr>
        <w:spacing w:before="60" w:after="80"/>
        <w:jc w:val="both"/>
      </w:pPr>
      <w:r>
        <w:rPr>
          <w:rFonts w:ascii="Arial" w:cs="Arial" w:eastAsia="Arial" w:hAnsi="Arial"/>
          <w:sz w:val="20"/>
          <w:szCs w:val="20"/>
        </w:rPr>
        <w:t xml:space="preserve">The following table details the weekly ration allotments for each supervisory tier. Please note that Discretionary Luxury Ration figures for senior leadership positions are redacted per Vault-Tec Board Resolution No. 2074-119, 'Preservation of Morale Through Strategic Opacity.' General Residents are strongly discouraged from speculating about these figures, as such speculation is both unproductive and, frankly, unbecoming.</w:t>
      </w:r>
    </w:p>
    <w:p>
      <w:pPr>
        <w:spacing w:before="12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040"/>
        <w:gridCol w:w="2040"/>
        <w:gridCol w:w="2640"/>
      </w:tblGrid>
      <w:tr>
        <w:trPr>
          <w:tblHeader/>
        </w:trPr>
        <w:tc>
          <w:tcPr>
            <w:tcW w:type="dxa" w:w="264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POSITION TITLE</w:t>
            </w:r>
          </w:p>
        </w:tc>
        <w:tc>
          <w:tcPr>
            <w:tcW w:type="dxa" w:w="204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BASE RATION ALLOC. (Units/Wk)</w:t>
            </w:r>
          </w:p>
        </w:tc>
        <w:tc>
          <w:tcPr>
            <w:tcW w:type="dxa" w:w="204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HAZARD SUPPLEMENT</w:t>
            </w:r>
          </w:p>
        </w:tc>
        <w:tc>
          <w:tcPr>
            <w:tcW w:type="dxa" w:w="264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DISCRETIONARY LUXURY RATION</w:t>
            </w:r>
          </w:p>
        </w:tc>
      </w:tr>
      <w:tr>
        <w:tc>
          <w:tcPr>
            <w:tcW w:type="dxa" w:w="26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Overseer, Primary</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850</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200</w:t>
            </w:r>
          </w:p>
        </w:tc>
        <w:tc>
          <w:tcPr>
            <w:tcW w:type="dxa" w:w="2640"/>
            <w:tcBorders>
              <w:top w:val="single" w:color="AAAAAA" w:sz="4"/>
              <w:left w:val="single" w:color="AAAAAA" w:sz="4"/>
              <w:bottom w:val="single" w:color="AAAAAA" w:sz="4"/>
              <w:right w:val="single" w:color="AAAAAA" w:sz="4"/>
            </w:tcBorders>
            <w:shd w:fill="1A1A1A" w:val="clear"/>
            <w:tcMar>
              <w:top w:type="dxa" w:w="60"/>
              <w:left w:type="dxa" w:w="100"/>
              <w:bottom w:type="dxa" w:w="60"/>
              <w:right w:type="dxa" w:w="100"/>
            </w:tcMar>
          </w:tcPr>
          <w:p>
            <w:r>
              <w:rPr>
                <w:rFonts w:ascii="Courier New" w:cs="Courier New" w:eastAsia="Courier New" w:hAnsi="Courier New"/>
                <w:color w:val="1A1A1A"/>
                <w:sz w:val="18"/>
                <w:szCs w:val="18"/>
              </w:rPr>
              <w:t xml:space="preserve">  [REDACTED]  </w:t>
            </w:r>
          </w:p>
        </w:tc>
      </w:tr>
      <w:tr>
        <w:tc>
          <w:tcPr>
            <w:tcW w:type="dxa" w:w="26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Deputy Overseer</w:t>
            </w:r>
          </w:p>
        </w:tc>
        <w:tc>
          <w:tcPr>
            <w:tcW w:type="dxa" w:w="2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620</w:t>
            </w:r>
          </w:p>
        </w:tc>
        <w:tc>
          <w:tcPr>
            <w:tcW w:type="dxa" w:w="2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150</w:t>
            </w:r>
          </w:p>
        </w:tc>
        <w:tc>
          <w:tcPr>
            <w:tcW w:type="dxa" w:w="2640"/>
            <w:tcBorders>
              <w:top w:val="single" w:color="AAAAAA" w:sz="4"/>
              <w:left w:val="single" w:color="AAAAAA" w:sz="4"/>
              <w:bottom w:val="single" w:color="AAAAAA" w:sz="4"/>
              <w:right w:val="single" w:color="AAAAAA" w:sz="4"/>
            </w:tcBorders>
            <w:shd w:fill="1A1A1A" w:val="clear"/>
            <w:tcMar>
              <w:top w:type="dxa" w:w="60"/>
              <w:left w:type="dxa" w:w="100"/>
              <w:bottom w:type="dxa" w:w="60"/>
              <w:right w:type="dxa" w:w="100"/>
            </w:tcMar>
          </w:tcPr>
          <w:p>
            <w:r>
              <w:rPr>
                <w:rFonts w:ascii="Courier New" w:cs="Courier New" w:eastAsia="Courier New" w:hAnsi="Courier New"/>
                <w:color w:val="1A1A1A"/>
                <w:sz w:val="18"/>
                <w:szCs w:val="18"/>
              </w:rPr>
              <w:t xml:space="preserve">  [REDACTED]  </w:t>
            </w:r>
          </w:p>
        </w:tc>
      </w:tr>
      <w:tr>
        <w:tc>
          <w:tcPr>
            <w:tcW w:type="dxa" w:w="26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Senior Floor Monitor</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310</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75</w:t>
            </w:r>
          </w:p>
        </w:tc>
        <w:tc>
          <w:tcPr>
            <w:tcW w:type="dxa" w:w="26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48</w:t>
            </w:r>
          </w:p>
        </w:tc>
      </w:tr>
      <w:tr>
        <w:tc>
          <w:tcPr>
            <w:tcW w:type="dxa" w:w="26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Floor Monitor</w:t>
            </w:r>
          </w:p>
        </w:tc>
        <w:tc>
          <w:tcPr>
            <w:tcW w:type="dxa" w:w="2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280</w:t>
            </w:r>
          </w:p>
        </w:tc>
        <w:tc>
          <w:tcPr>
            <w:tcW w:type="dxa" w:w="2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40</w:t>
            </w:r>
          </w:p>
        </w:tc>
        <w:tc>
          <w:tcPr>
            <w:tcW w:type="dxa" w:w="26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r>
      <w:tr>
        <w:tc>
          <w:tcPr>
            <w:tcW w:type="dxa" w:w="26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General Resident (Benchmark)</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200 (Standard)</w:t>
            </w:r>
          </w:p>
        </w:tc>
        <w:tc>
          <w:tcPr>
            <w:tcW w:type="dxa" w:w="20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N/A</w:t>
            </w:r>
          </w:p>
        </w:tc>
        <w:tc>
          <w:tcPr>
            <w:tcW w:type="dxa" w:w="264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bl>
    <w:p>
      <w:pPr>
        <w:spacing w:before="80"/>
      </w:pPr>
    </w:p>
    <w:p>
      <w:pPr>
        <w:spacing w:before="40" w:after="8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Luxury ration contents for Overseer-grade positions include, but are not limited to: Nuka-Cola Quantum (chilled), Abraxo-laundered linens, a selection of pre-war printed periodicals, and access to the Vault's sole operational climate-control unit. These perquisites are performance-based and entirely merited. Please do not ask follow-up questions.</w:t>
      </w:r>
    </w:p>
    <w:p>
      <w:pPr>
        <w:pStyle w:val="Heading1"/>
      </w:pPr>
      <w:r>
        <w:rPr>
          <w:rFonts w:ascii="Arial" w:cs="Arial" w:eastAsia="Arial" w:hAnsi="Arial"/>
          <w:b/>
          <w:bCs/>
          <w:color w:val="003366"/>
          <w:sz w:val="28"/>
          <w:szCs w:val="28"/>
        </w:rPr>
        <w:t xml:space="preserve">3. HAZARD PAY PROVISIONS</w:t>
      </w:r>
    </w:p>
    <w:p>
      <w:pPr>
        <w:spacing w:before="60" w:after="80"/>
        <w:jc w:val="both"/>
      </w:pPr>
      <w:r>
        <w:rPr>
          <w:rFonts w:ascii="Arial" w:cs="Arial" w:eastAsia="Arial" w:hAnsi="Arial"/>
          <w:sz w:val="20"/>
          <w:szCs w:val="20"/>
        </w:rPr>
        <w:t xml:space="preserve">Vault-Tec recognizes that Overseer-level management carries with it a unique and occasionally exhausting set of occupational stressors. In recognition of these burdens, the following Hazard Pay supplements have been approved: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80"/>
        <w:gridCol w:w="2880"/>
      </w:tblGrid>
      <w:tr>
        <w:trPr>
          <w:tblHeader/>
        </w:trPr>
        <w:tc>
          <w:tcPr>
            <w:tcW w:type="dxa" w:w="420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QUALIFYING HAZARD SCENARIO</w:t>
            </w:r>
          </w:p>
        </w:tc>
        <w:tc>
          <w:tcPr>
            <w:tcW w:type="dxa" w:w="228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SUPPLEMENT (VT-SRU/INCIDENT)</w:t>
            </w:r>
          </w:p>
        </w:tc>
        <w:tc>
          <w:tcPr>
            <w:tcW w:type="dxa" w:w="2880"/>
            <w:tcBorders>
              <w:top w:val="single" w:color="AAAAAA" w:sz="4"/>
              <w:left w:val="single" w:color="AAAAAA" w:sz="4"/>
              <w:bottom w:val="single" w:color="AAAAAA" w:sz="4"/>
              <w:right w:val="single" w:color="AAAAAA" w:sz="4"/>
            </w:tcBorders>
            <w:shd w:fill="003366" w:val="clear"/>
            <w:tcMar>
              <w:top w:type="dxa" w:w="60"/>
              <w:left w:type="dxa" w:w="100"/>
              <w:bottom w:type="dxa" w:w="60"/>
              <w:right w:type="dxa" w:w="100"/>
            </w:tcMar>
          </w:tcPr>
          <w:p>
            <w:r>
              <w:rPr>
                <w:rFonts w:ascii="Arial" w:cs="Arial" w:eastAsia="Arial" w:hAnsi="Arial"/>
                <w:b/>
                <w:bCs/>
                <w:color w:val="FFFFFF"/>
                <w:sz w:val="18"/>
                <w:szCs w:val="18"/>
              </w:rPr>
              <w:t xml:space="preserve">ADDITIONAL NOTES</w:t>
            </w:r>
          </w:p>
        </w:tc>
      </w:tr>
      <w:tr>
        <w:tc>
          <w:tcPr>
            <w:tcW w:type="dxa" w:w="420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Resident Unrest Suppression Event</w:t>
            </w:r>
          </w:p>
        </w:tc>
        <w:tc>
          <w:tcPr>
            <w:tcW w:type="dxa" w:w="22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+ 85 SRU</w:t>
            </w:r>
          </w:p>
        </w:tc>
        <w:tc>
          <w:tcPr>
            <w:tcW w:type="dxa" w:w="28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Per verified incident report, countersigned by Deputy Overseer</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Mandatory Experiment Facilitation (Category A)</w:t>
            </w:r>
          </w:p>
        </w:tc>
        <w:tc>
          <w:tcPr>
            <w:tcW w:type="dxa" w:w="22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c>
          <w:tcPr>
            <w:tcW w:type="dxa" w:w="28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r>
      <w:tr>
        <w:tc>
          <w:tcPr>
            <w:tcW w:type="dxa" w:w="420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Mandatory Experiment Facilitation (Category B)</w:t>
            </w:r>
          </w:p>
        </w:tc>
        <w:tc>
          <w:tcPr>
            <w:tcW w:type="dxa" w:w="22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c>
          <w:tcPr>
            <w:tcW w:type="dxa" w:w="28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Annual G.O.A.T. Exam Administration</w:t>
            </w:r>
          </w:p>
        </w:tc>
        <w:tc>
          <w:tcPr>
            <w:tcW w:type="dxa" w:w="22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+ 40 SRU</w:t>
            </w:r>
          </w:p>
        </w:tc>
        <w:tc>
          <w:tcPr>
            <w:tcW w:type="dxa" w:w="28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Includes bonus for maintaining the fiction that results are non-predetermined</w:t>
            </w:r>
          </w:p>
        </w:tc>
      </w:tr>
      <w:tr>
        <w:tc>
          <w:tcPr>
            <w:tcW w:type="dxa" w:w="420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'Population Adjustment' Events</w:t>
            </w:r>
          </w:p>
        </w:tc>
        <w:tc>
          <w:tcPr>
            <w:tcW w:type="dxa" w:w="22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c>
          <w:tcPr>
            <w:tcW w:type="dxa" w:w="2880"/>
            <w:tcBorders>
              <w:top w:val="single" w:color="AAAAAA" w:sz="4"/>
              <w:left w:val="single" w:color="AAAAAA" w:sz="4"/>
              <w:bottom w:val="single" w:color="AAAAAA" w:sz="4"/>
              <w:right w:val="single" w:color="AAAAAA" w:sz="4"/>
            </w:tcBorders>
            <w:shd w:fill="E8F0F7" w:val="clear"/>
            <w:tcMar>
              <w:top w:type="dxa" w:w="60"/>
              <w:left w:type="dxa" w:w="100"/>
              <w:bottom w:type="dxa" w:w="60"/>
              <w:right w:type="dxa" w:w="100"/>
            </w:tcMar>
          </w:tcPr>
          <w:p>
            <w:r>
              <w:rPr>
                <w:rFonts w:ascii="Arial" w:cs="Arial" w:eastAsia="Arial" w:hAnsi="Arial"/>
                <w:b w:val="false"/>
                <w:bCs w:val="false"/>
                <w:color w:val="000000"/>
                <w:sz w:val="18"/>
                <w:szCs w:val="18"/>
              </w:rPr>
              <w:t xml:space="preserve">Requires prior HQ authorization. Refer to Protocol Omega documentation.</w:t>
            </w:r>
          </w:p>
        </w:tc>
      </w:tr>
      <w:tr>
        <w:tc>
          <w:tcPr>
            <w:tcW w:type="dxa" w:w="4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Vault Door Sealing / Locking (Final-Class Event)</w:t>
            </w:r>
          </w:p>
        </w:tc>
        <w:tc>
          <w:tcPr>
            <w:tcW w:type="dxa" w:w="22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w:t>
            </w:r>
          </w:p>
        </w:tc>
        <w:tc>
          <w:tcPr>
            <w:tcW w:type="dxa" w:w="28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[REDACTED PER VT-BOARD-RES-2074-77]</w:t>
            </w:r>
          </w:p>
        </w:tc>
      </w:tr>
    </w:tbl>
    <w:p>
      <w:pPr>
        <w:spacing w:before="120"/>
      </w:pPr>
    </w:p>
    <w:p>
      <w:pPr>
        <w:spacing w:before="60" w:after="80"/>
        <w:jc w:val="both"/>
      </w:pPr>
      <w:r>
        <w:rPr>
          <w:rFonts w:ascii="Arial" w:cs="Arial" w:eastAsia="Arial" w:hAnsi="Arial"/>
          <w:sz w:val="20"/>
          <w:szCs w:val="20"/>
        </w:rPr>
        <w:t xml:space="preserve">Category A and B Experiment Facilitation supplements are disbursed retroactively upon successful conclusion of the experimental protocol as determined by the Vault-Tec Science Division. 'Successful conclusion' is defined solely at the discretion of the Science Division and may include outcomes that a layperson might describe as 'unfortunate.' HR reminds all Overseers that a signed Non-Disclosure Agreement (Form VT-NDA-EXP-19B) is a prerequisite for supplement disbursement.</w:t>
      </w:r>
    </w:p>
    <w:p>
      <w:pPr>
        <w:pStyle w:val="Heading1"/>
      </w:pPr>
      <w:r>
        <w:rPr>
          <w:rFonts w:ascii="Arial" w:cs="Arial" w:eastAsia="Arial" w:hAnsi="Arial"/>
          <w:b/>
          <w:bCs/>
          <w:color w:val="003366"/>
          <w:sz w:val="28"/>
          <w:szCs w:val="28"/>
        </w:rPr>
        <w:t xml:space="preserve">4. PROHIBITION ON DISCLOSURE</w:t>
      </w:r>
    </w:p>
    <w:p>
      <w:pPr>
        <w:spacing w:before="60" w:after="80"/>
        <w:jc w:val="both"/>
      </w:pPr>
      <w:r>
        <w:rPr>
          <w:rFonts w:ascii="Arial" w:cs="Arial" w:eastAsia="Arial" w:hAnsi="Arial"/>
          <w:sz w:val="20"/>
          <w:szCs w:val="20"/>
        </w:rPr>
        <w:t xml:space="preserve">The contents of this Addendum, including but not limited to all ration figures, hazard pay schedules, and the very existence of the Discretionary Luxury Ration program, are strictly confidential. Disclosure to General Residents, Floor Monitors below Grade 3, or any individual demonstrating excessive curiosity is prohibited and constitutes grounds for involuntary reassignment to a residential wing of HR's choosing.</w:t>
      </w:r>
    </w:p>
    <w:p>
      <w:pPr>
        <w:spacing w:before="60" w:after="80"/>
        <w:jc w:val="both"/>
      </w:pPr>
      <w:r>
        <w:rPr>
          <w:rFonts w:ascii="Arial" w:cs="Arial" w:eastAsia="Arial" w:hAnsi="Arial"/>
          <w:sz w:val="20"/>
          <w:szCs w:val="20"/>
        </w:rPr>
        <w:t xml:space="preserve">Vault-Tec thanks you for your discretion, your loyalty, and your continued belief in a Brighter Tomorrow. The rations will continue for as long as your performance merits them. We are all, in this way, aligned.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920"/>
      </w:tblGrid>
      <w:tr>
        <w:tc>
          <w:tcPr>
            <w:tcW w:type="dxa" w:w="4440"/>
            <w:tcBorders>
              <w:top w:val="none"/>
              <w:left w:val="none"/>
              <w:bottom w:val="none"/>
              <w:right w:val="none"/>
            </w:tcBorders>
            <w:tcMar>
              <w:top w:type="dxa" w:w="80"/>
              <w:left w:type="dxa" w:w="0"/>
              <w:bottom w:type="dxa" w:w="80"/>
              <w:right w:type="dxa" w:w="120"/>
            </w:tcMar>
          </w:tcPr>
          <w:p>
            <w:r>
              <w:rPr>
                <w:rFonts w:ascii="Arial" w:cs="Arial" w:eastAsia="Arial" w:hAnsi="Arial"/>
                <w:b/>
                <w:bCs/>
                <w:sz w:val="19"/>
                <w:szCs w:val="19"/>
              </w:rPr>
              <w:t xml:space="preserve">Authorised By:</w:t>
            </w:r>
          </w:p>
          <w:p>
            <w:pPr>
              <w:pBdr>
                <w:bottom w:val="single" w:color="000000" w:sz="4" w:space="2"/>
              </w:pBdr>
              <w:spacing w:before="360" w:after="40"/>
            </w:pPr>
            <w:r>
              <w:t xml:space="preserve"> </w:t>
            </w:r>
          </w:p>
          <w:p>
            <w:r>
              <w:rPr>
                <w:rFonts w:ascii="Arial" w:cs="Arial" w:eastAsia="Arial" w:hAnsi="Arial"/>
                <w:i/>
                <w:iCs/>
                <w:color w:val="555555"/>
                <w:sz w:val="18"/>
                <w:szCs w:val="18"/>
              </w:rPr>
              <w:t xml:space="preserve">Director, Human Resources — Vault-Tec Corp.</w:t>
            </w:r>
          </w:p>
        </w:tc>
        <w:tc>
          <w:tcPr>
            <w:tcW w:type="dxa" w:w="4920"/>
            <w:tcBorders>
              <w:top w:val="none"/>
              <w:left w:val="none"/>
              <w:bottom w:val="none"/>
              <w:right w:val="none"/>
            </w:tcBorders>
            <w:tcMar>
              <w:top w:type="dxa" w:w="80"/>
              <w:left w:type="dxa" w:w="120"/>
              <w:bottom w:type="dxa" w:w="80"/>
              <w:right w:type="dxa" w:w="0"/>
            </w:tcMar>
          </w:tcPr>
          <w:p>
            <w:r>
              <w:rPr>
                <w:rFonts w:ascii="Arial" w:cs="Arial" w:eastAsia="Arial" w:hAnsi="Arial"/>
                <w:b/>
                <w:bCs/>
                <w:sz w:val="19"/>
                <w:szCs w:val="19"/>
              </w:rPr>
              <w:t xml:space="preserve">Document Custodian Stamp:</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dashed" w:color="AAAAAA" w:sz="4"/>
                    <w:left w:val="dashed" w:color="AAAAAA" w:sz="4"/>
                    <w:bottom w:val="dashed" w:color="AAAAAA" w:sz="4"/>
                    <w:right w:val="dashed" w:color="AAAAAA" w:sz="4"/>
                  </w:tcBorders>
                  <w:shd w:fill="F5F5F5" w:val="clear"/>
                  <w:tcMar>
                    <w:top w:type="dxa" w:w="40"/>
                    <w:left w:type="dxa" w:w="80"/>
                    <w:bottom w:type="dxa" w:w="40"/>
                    <w:right w:type="dxa" w:w="80"/>
                  </w:tcMar>
                </w:tcPr>
                <w:p>
                  <w:pPr>
                    <w:jc w:val="center"/>
                  </w:pPr>
                  <w:r>
                    <w:rPr>
                      <w:rFonts w:ascii="Arial" w:cs="Arial" w:eastAsia="Arial" w:hAnsi="Arial"/>
                      <w:i/>
                      <w:iCs/>
                      <w:color w:val="CCCCCC"/>
                      <w:sz w:val="18"/>
                      <w:szCs w:val="18"/>
                    </w:rPr>
                    <w:t xml:space="preserve">[ STAMP HERE ]</w:t>
                  </w:r>
                </w:p>
              </w:tc>
            </w:tr>
          </w:tbl>
          <w:p/>
        </w:tc>
      </w:tr>
    </w:tbl>
    <w:p>
      <w:pPr>
        <w:spacing w:before="160"/>
      </w:pPr>
    </w:p>
    <w:p>
      <w:pPr>
        <w:pBdr>
          <w:top w:val="single" w:color="F5C400" w:sz="4" w:space="4"/>
        </w:pBdr>
        <w:spacing w:before="80"/>
        <w:jc w:val="center"/>
      </w:pPr>
      <w:r>
        <w:rPr>
          <w:rFonts w:ascii="Arial" w:cs="Arial" w:eastAsia="Arial" w:hAnsi="Arial"/>
          <w:i/>
          <w:iCs/>
          <w:color w:val="888888"/>
          <w:sz w:val="18"/>
          <w:szCs w:val="18"/>
        </w:rPr>
        <w:t xml:space="preserve">VAULT-TEC: Building a Better Tomorrow, Today!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60"/>
      <w:jc w:val="center"/>
    </w:pPr>
    <w:r>
      <w:rPr>
        <w:rFonts w:ascii="Arial" w:cs="Arial" w:eastAsia="Arial" w:hAnsi="Arial"/>
        <w:color w:val="888888"/>
        <w:sz w:val="16"/>
        <w:szCs w:val="16"/>
      </w:rPr>
      <w:t xml:space="preserve">VT-HR-COMP-0004  |  CONFIDENTIAL: FOR AUTHORISED HR PERSONNEL ONLY  |  DO NOT DISTRIBUTE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F5C400" w:sz="6"/>
        <w:right w:val="none"/>
        <w:insideH w:val="single" w:color="auto" w:sz="4"/>
        <w:insideV w:val="single" w:color="auto" w:sz="4"/>
      </w:tblBorders>
    </w:tblPr>
    <w:tblGrid>
      <w:gridCol w:w="6260"/>
      <w:gridCol w:w="3100"/>
    </w:tblGrid>
    <w:tr>
      <w:tc>
        <w:tcPr>
          <w:tcW w:type="dxa" w:w="6260"/>
          <w:tcBorders>
            <w:top w:val="none"/>
            <w:left w:val="none"/>
            <w:bottom w:val="none"/>
            <w:right w:val="none"/>
          </w:tcBorders>
        </w:tcPr>
        <w:p>
          <w:r>
            <w:rPr>
              <w:rFonts w:ascii="Arial" w:cs="Arial" w:eastAsia="Arial" w:hAnsi="Arial"/>
              <w:b/>
              <w:bCs/>
              <w:color w:val="003366"/>
              <w:sz w:val="22"/>
              <w:szCs w:val="22"/>
            </w:rPr>
            <w:t xml:space="preserve">VAULT-TEC CORPORATION  </w:t>
          </w:r>
          <w:r>
            <w:rPr>
              <w:rFonts w:ascii="Arial" w:cs="Arial" w:eastAsia="Arial" w:hAnsi="Arial"/>
              <w:color w:val="666666"/>
              <w:sz w:val="18"/>
              <w:szCs w:val="18"/>
            </w:rPr>
            <w:t xml:space="preserve">| Human Resources Division</w:t>
          </w:r>
        </w:p>
      </w:tc>
      <w:tc>
        <w:tcPr>
          <w:tcW w:type="dxa" w:w="3100"/>
          <w:tcBorders>
            <w:top w:val="none"/>
            <w:left w:val="none"/>
            <w:bottom w:val="none"/>
            <w:right w:val="none"/>
          </w:tcBorders>
        </w:tcPr>
        <w:p>
          <w:pPr>
            <w:jc w:val="right"/>
          </w:pPr>
          <w:r>
            <w:rPr>
              <w:rFonts w:ascii="Arial" w:cs="Arial" w:eastAsia="Arial" w:hAnsi="Arial"/>
              <w:b/>
              <w:bCs/>
              <w:color w:val="8B0000"/>
              <w:sz w:val="16"/>
              <w:szCs w:val="16"/>
            </w:rPr>
            <w:t xml:space="preserve">CLASSIFICATION: HR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03366"/>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2026-02-23T14:39:34.451Z</dcterms:created>
  <dcterms:modified xsi:type="dcterms:W3CDTF">2026-02-23T14:39:34.452Z</dcterms:modified>
</cp:coreProperties>
</file>

<file path=docProps/custom.xml><?xml version="1.0" encoding="utf-8"?>
<Properties xmlns="http://schemas.openxmlformats.org/officeDocument/2006/custom-properties" xmlns:vt="http://schemas.openxmlformats.org/officeDocument/2006/docPropsVTypes"/>
</file>