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6B" w:val="clear"/>
        <w:spacing w:before="0" w:after="40"/>
        <w:jc w:val="center"/>
      </w:pPr>
      <w:r>
        <w:rPr>
          <w:rFonts w:ascii="Arial" w:cs="Arial" w:eastAsia="Arial" w:hAnsi="Arial"/>
          <w:b/>
          <w:bCs/>
          <w:caps/>
          <w:color w:val="F5C518"/>
          <w:sz w:val="44"/>
          <w:szCs w:val="44"/>
        </w:rPr>
        <w:t xml:space="preserve">VAULT-TEC CORPORATION</w:t>
      </w:r>
    </w:p>
    <w:p>
      <w:pPr>
        <w:shd w:fill="1A3A6B" w:val="clear"/>
        <w:spacing w:before="0" w:after="40"/>
        <w:jc w:val="center"/>
      </w:pPr>
      <w:r>
        <w:rPr>
          <w:rFonts w:ascii="Arial" w:cs="Arial" w:eastAsia="Arial" w:hAnsi="Arial"/>
          <w:color w:val="FFFFFF"/>
          <w:sz w:val="24"/>
          <w:szCs w:val="24"/>
        </w:rPr>
        <w:t xml:space="preserve">Marketing Division — Internal Strategy Memorandum</w:t>
      </w:r>
    </w:p>
    <w:p>
      <w:pPr>
        <w:shd w:fill="1A3A6B" w:val="clear"/>
        <w:spacing w:before="0" w:after="280"/>
        <w:jc w:val="center"/>
      </w:pPr>
      <w:r>
        <w:rPr>
          <w:rFonts w:ascii="Arial" w:cs="Arial" w:eastAsia="Arial" w:hAnsi="Arial"/>
          <w:sz w:val="12"/>
          <w:szCs w:val="1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Vault 76 Tricentennial Promotional Strategy</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February 2076</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Marketing Division</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MARKETING EYES ONLY — Do Not Distribute to General Vault Population</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Intended Format: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Word (.docx)</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 Barnsworth, Senior Director of Resident Enthusiasm Management</w:t>
            </w:r>
          </w:p>
        </w:tc>
      </w:tr>
      <w:tr>
        <w:tc>
          <w:tcPr>
            <w:tcW w:type="dxa" w:w="3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Oversight Committee for Optimized Morale Outcomes (OCOMO)</w:t>
            </w:r>
          </w:p>
        </w:tc>
      </w:tr>
    </w:tbl>
    <w:p>
      <w:pPr>
        <w:spacing w:before="320" w:after="0"/>
      </w:pPr>
    </w:p>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1: EXECUTIVE SUMMARY — A SWELL OPPORTUNITY AWAITS!</w:t>
      </w:r>
    </w:p>
    <w:p>
      <w:pPr>
        <w:spacing w:before="80" w:after="80"/>
      </w:pPr>
      <w:r>
        <w:rPr>
          <w:rFonts w:ascii="Arial" w:cs="Arial" w:eastAsia="Arial" w:hAnsi="Arial"/>
          <w:sz w:val="22"/>
          <w:szCs w:val="22"/>
        </w:rPr>
        <w:t xml:space="preserve">Hot dog, are we ever excited! The year 2076 marks the glorious TRICENTENNIAL of our magnificent nation — and Vault-Tec Corporation intends to leverage this once-in-a-civilization milestone to drive unprecedented resident engagement, voluntary compliance metrics, and what our internal consultants are enthusiastically calling 'Peak Morale Saturation.'</w:t>
      </w:r>
    </w:p>
    <w:p>
      <w:pPr>
        <w:spacing w:before="80" w:after="80"/>
      </w:pPr>
      <w:r>
        <w:rPr>
          <w:rFonts w:ascii="Arial" w:cs="Arial" w:eastAsia="Arial" w:hAnsi="Arial"/>
          <w:sz w:val="22"/>
          <w:szCs w:val="22"/>
        </w:rPr>
        <w:t xml:space="preserve">The flagship event — internally designated RECLAMATION DAY — is projected to occur sometime in the vicinity of October 23, 2077, pending the timely arrival of certain geopolitical catalysts. Until then, it is our collective duty as Marketing professionals to ensure that all 122 enrolled Vault 76 residents are so thoroughly marinated in optimism and brand loyalty that their eventual surface deployment proceeds with ZERO incidents of hesitation, weeping, or inconvenient philosophical inquiry.</w:t>
      </w:r>
    </w:p>
    <w:p>
      <w:pPr>
        <w:spacing w:before="80" w:after="80"/>
      </w:pPr>
      <w:r>
        <w:rPr>
          <w:rFonts w:ascii="Arial" w:cs="Arial" w:eastAsia="Arial" w:hAnsi="Arial"/>
          <w:sz w:val="22"/>
          <w:szCs w:val="22"/>
        </w:rPr>
        <w:t xml:space="preserve">This document outlines our full-spectrum promotional strategy. Please read it in its entirety. Then shred it. Then smile.</w:t>
      </w:r>
    </w:p>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2: CAMPAIGN OBJECTIVES &amp; MEASURABLE DELIVERABLES</w:t>
      </w:r>
    </w:p>
    <w:p>
      <w:pPr>
        <w:pStyle w:val="Heading2"/>
        <w:spacing w:before="240" w:after="80"/>
      </w:pPr>
      <w:r>
        <w:rPr>
          <w:rFonts w:ascii="Arial" w:cs="Arial" w:eastAsia="Arial" w:hAnsi="Arial"/>
          <w:b/>
          <w:bCs/>
          <w:color w:val="2C5F9E"/>
          <w:sz w:val="26"/>
          <w:szCs w:val="26"/>
        </w:rPr>
        <w:t xml:space="preserve">2.1 Primary Objectives</w:t>
      </w:r>
    </w:p>
    <w:p>
      <w:pPr>
        <w:pStyle w:val="ListParagraph"/>
        <w:numPr>
          <w:ilvl w:val="0"/>
          <w:numId w:val="2"/>
        </w:numPr>
        <w:spacing w:before="40" w:after="40"/>
      </w:pPr>
      <w:r>
        <w:rPr>
          <w:rFonts w:ascii="Arial" w:cs="Arial" w:eastAsia="Arial" w:hAnsi="Arial"/>
          <w:sz w:val="22"/>
          <w:szCs w:val="22"/>
        </w:rPr>
        <w:t xml:space="preserve">Achieve a resident Voluntary Enthusiasm Score (V.E.S.) of no less than 94% by Q3 2077, as measured by mandatory quarterly happiness surveys (non-participation is logged as a 'hostile abstention').</w:t>
      </w:r>
    </w:p>
    <w:p>
      <w:pPr>
        <w:pStyle w:val="ListParagraph"/>
        <w:numPr>
          <w:ilvl w:val="0"/>
          <w:numId w:val="2"/>
        </w:numPr>
        <w:spacing w:before="40" w:after="40"/>
      </w:pPr>
      <w:r>
        <w:rPr>
          <w:rFonts w:ascii="Arial" w:cs="Arial" w:eastAsia="Arial" w:hAnsi="Arial"/>
          <w:sz w:val="22"/>
          <w:szCs w:val="22"/>
        </w:rPr>
        <w:t xml:space="preserve">Establish 'Reclamation Day' as a culturally meaningful event that residents genuinely look forward to, rather than a logistically scheduled expulsion from a controlled habitat.</w:t>
      </w:r>
    </w:p>
    <w:p>
      <w:pPr>
        <w:pStyle w:val="ListParagraph"/>
        <w:numPr>
          <w:ilvl w:val="0"/>
          <w:numId w:val="2"/>
        </w:numPr>
        <w:spacing w:before="40" w:after="40"/>
      </w:pPr>
      <w:r>
        <w:rPr>
          <w:rFonts w:ascii="Arial" w:cs="Arial" w:eastAsia="Arial" w:hAnsi="Arial"/>
          <w:sz w:val="22"/>
          <w:szCs w:val="22"/>
        </w:rPr>
        <w:t xml:space="preserve">Suppress all organic rumors regarding the Vault's experimental social parameters through proactive counter-messaging and cheerful distraction initiatives.</w:t>
      </w:r>
    </w:p>
    <w:p>
      <w:pPr>
        <w:pStyle w:val="ListParagraph"/>
        <w:numPr>
          <w:ilvl w:val="0"/>
          <w:numId w:val="2"/>
        </w:numPr>
        <w:spacing w:before="40" w:after="40"/>
      </w:pPr>
      <w:r>
        <w:rPr>
          <w:rFonts w:ascii="Arial" w:cs="Arial" w:eastAsia="Arial" w:hAnsi="Arial"/>
          <w:sz w:val="22"/>
          <w:szCs w:val="22"/>
        </w:rPr>
        <w:t xml:space="preserve">Generate no fewer than 14 slogans testable across resident demographics, ensuring maximum penetration among age cohorts 8-through-67.</w:t>
      </w:r>
    </w:p>
    <w:p>
      <w:pPr>
        <w:spacing w:before="120" w:after="0"/>
      </w:pPr>
    </w:p>
    <w:p>
      <w:pPr>
        <w:pStyle w:val="Heading2"/>
        <w:spacing w:before="240" w:after="80"/>
      </w:pPr>
      <w:r>
        <w:rPr>
          <w:rFonts w:ascii="Arial" w:cs="Arial" w:eastAsia="Arial" w:hAnsi="Arial"/>
          <w:b/>
          <w:bCs/>
          <w:color w:val="2C5F9E"/>
          <w:sz w:val="26"/>
          <w:szCs w:val="26"/>
        </w:rPr>
        <w:t xml:space="preserve">2.2 Secondary Objectives (Swell Bonuses!)</w:t>
      </w:r>
    </w:p>
    <w:p>
      <w:pPr>
        <w:pStyle w:val="ListParagraph"/>
        <w:numPr>
          <w:ilvl w:val="0"/>
          <w:numId w:val="2"/>
        </w:numPr>
        <w:spacing w:before="40" w:after="40"/>
      </w:pPr>
      <w:r>
        <w:rPr>
          <w:rFonts w:ascii="Arial" w:cs="Arial" w:eastAsia="Arial" w:hAnsi="Arial"/>
          <w:sz w:val="22"/>
          <w:szCs w:val="22"/>
        </w:rPr>
        <w:t xml:space="preserve">Reinforce the proprietary Vault-Tec brand identity as synonymous with 'safety,' 'family,' and 'the warm feeling you get when you think about never leaving.'</w:t>
      </w:r>
    </w:p>
    <w:p>
      <w:pPr>
        <w:pStyle w:val="ListParagraph"/>
        <w:numPr>
          <w:ilvl w:val="0"/>
          <w:numId w:val="2"/>
        </w:numPr>
        <w:spacing w:before="40" w:after="40"/>
      </w:pPr>
      <w:r>
        <w:rPr>
          <w:rFonts w:ascii="Arial" w:cs="Arial" w:eastAsia="Arial" w:hAnsi="Arial"/>
          <w:sz w:val="22"/>
          <w:szCs w:val="22"/>
        </w:rPr>
        <w:t xml:space="preserve">Pre-emptively neutralize any potential negative sentiment regarding surface conditions through artful deployment of the phrase 'adventure awaits!'</w:t>
      </w:r>
    </w:p>
    <w:p>
      <w:pPr>
        <w:pStyle w:val="ListParagraph"/>
        <w:numPr>
          <w:ilvl w:val="0"/>
          <w:numId w:val="2"/>
        </w:numPr>
        <w:spacing w:before="40" w:after="40"/>
      </w:pPr>
      <w:r>
        <w:rPr>
          <w:rFonts w:ascii="Arial" w:cs="Arial" w:eastAsia="Arial" w:hAnsi="Arial"/>
          <w:sz w:val="22"/>
          <w:szCs w:val="22"/>
        </w:rPr>
        <w:t xml:space="preserve">Ensure that no Marketing collateral references, implies, or faintly gestures toward the possibility of mass surface uninhabitability. Legal has been very clear on this point.</w:t>
      </w:r>
    </w:p>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3: CORE MESSAGING STRATEGY &amp; APPROVED VOCABULARY</w:t>
      </w:r>
    </w:p>
    <w:p>
      <w:pPr>
        <w:spacing w:before="80" w:after="80"/>
      </w:pPr>
      <w:r>
        <w:rPr>
          <w:rFonts w:ascii="Arial" w:cs="Arial" w:eastAsia="Arial" w:hAnsi="Arial"/>
          <w:sz w:val="22"/>
          <w:szCs w:val="22"/>
        </w:rPr>
        <w:t xml:space="preserve">Our messaging must be tip-top, relentlessly upbeat, and surgically calibrated to maximize compliance without triggering what the Behavioral Science Unit has clinically termed 'Lucidity Events' — those deeply inconvenient moments when a resident begins asking statistically dangerous questions.</w:t>
      </w:r>
    </w:p>
    <w:p>
      <w:pPr>
        <w:spacing w:before="120" w:after="80"/>
      </w:pPr>
      <w:r>
        <w:rPr>
          <w:rFonts w:ascii="Arial" w:cs="Arial" w:eastAsia="Arial" w:hAnsi="Arial"/>
          <w:b/>
          <w:bCs/>
          <w:color w:val="1A3A6B"/>
          <w:sz w:val="24"/>
          <w:szCs w:val="24"/>
        </w:rPr>
        <w:t xml:space="preserve">3.1 Approved &amp; Prohibited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PROHIBITED TERM</w:t>
            </w:r>
          </w:p>
        </w:tc>
        <w:tc>
          <w:tcPr>
            <w:tcW w:type="dxa" w:w="468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APPROVED VAULT-TEC ALTERNATIVE</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sz w:val="20"/>
                <w:szCs w:val="20"/>
              </w:rPr>
              <w:t xml:space="preserve">"Forced surface relocation"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complimentary exterior residency transition!"</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sz w:val="20"/>
                <w:szCs w:val="20"/>
              </w:rPr>
              <w:t xml:space="preserve">"Nuclear annihilation"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broad-spectrum atmospheric renewal event"</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sz w:val="20"/>
                <w:szCs w:val="20"/>
              </w:rPr>
              <w:t xml:space="preserve">"Radiation poisoning"</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"Spontaneous isotope integration — it's the future!"</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sz w:val="20"/>
                <w:szCs w:val="20"/>
              </w:rPr>
              <w:t xml:space="preserve">"Mass unplanned expiration"</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"High-volume resident lifecycle completion"</w:t>
            </w:r>
          </w:p>
        </w:tc>
      </w:tr>
      <w:tr>
        <w:tc>
          <w:tcPr>
            <w:tcW w:type="dxa" w:w="468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i/>
                <w:iCs/>
                <w:sz w:val="20"/>
                <w:szCs w:val="20"/>
              </w:rPr>
              <w:t xml:space="preserve">"The surface is uninhabitable"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surface is an exciting frontier with robust character-building potential!"</w:t>
            </w:r>
          </w:p>
        </w:tc>
      </w:tr>
    </w:tbl>
    <w:p>
      <w:pPr>
        <w:spacing w:before="240" w:after="0"/>
      </w:pPr>
    </w:p>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4: THE THREE CAMPAIGN PILLARS OF TRICENTENNIAL JOY</w:t>
      </w:r>
    </w:p>
    <w:p>
      <w:pPr>
        <w:pStyle w:val="Heading2"/>
        <w:spacing w:before="240" w:after="80"/>
      </w:pPr>
      <w:r>
        <w:rPr>
          <w:rFonts w:ascii="Arial" w:cs="Arial" w:eastAsia="Arial" w:hAnsi="Arial"/>
          <w:b/>
          <w:bCs/>
          <w:color w:val="2C5F9E"/>
          <w:sz w:val="26"/>
          <w:szCs w:val="26"/>
        </w:rPr>
        <w:t xml:space="preserve">PILLAR A: 'America's Best Days Are Just Beginning!' (Nostalgia &amp; Pride)</w:t>
      </w:r>
    </w:p>
    <w:p>
      <w:pPr>
        <w:spacing w:before="80" w:after="80"/>
      </w:pPr>
      <w:r>
        <w:rPr>
          <w:rFonts w:ascii="Arial" w:cs="Arial" w:eastAsia="Arial" w:hAnsi="Arial"/>
          <w:sz w:val="22"/>
          <w:szCs w:val="22"/>
        </w:rPr>
        <w:t xml:space="preserve">Leverage the deep emotional resonance of American patriotism to pre-emptively reframe any post-vault surface experience through a lens of rugged, can-do optimism. Residents should feel that stepping onto the surface is an act of patriotism rather than, for instance, a controlled discharge of surplus human inventory.</w:t>
      </w:r>
    </w:p>
    <w:p>
      <w:pPr>
        <w:spacing w:before="80" w:after="80"/>
      </w:pPr>
      <w:r>
        <w:rPr>
          <w:rFonts w:ascii="Arial" w:cs="Arial" w:eastAsia="Arial" w:hAnsi="Arial"/>
          <w:sz w:val="22"/>
          <w:szCs w:val="22"/>
        </w:rPr>
        <w:t xml:space="preserve">Suggested collateral: posters featuring eagles, families waving small flags, and attractive individuals holding Pip-Boys while gazing confidently at an indistinct horizon. NOTE: Horizon must be rendered in warm sunset tones. Absolutely zero mushroom clouds. Legal has flagged this twice.</w:t>
      </w:r>
    </w:p>
    <w:p>
      <w:pPr>
        <w:pStyle w:val="Heading2"/>
        <w:spacing w:before="240" w:after="80"/>
      </w:pPr>
      <w:r>
        <w:rPr>
          <w:rFonts w:ascii="Arial" w:cs="Arial" w:eastAsia="Arial" w:hAnsi="Arial"/>
          <w:b/>
          <w:bCs/>
          <w:color w:val="2C5F9E"/>
          <w:sz w:val="26"/>
          <w:szCs w:val="26"/>
        </w:rPr>
        <w:t xml:space="preserve">PILLAR B: 'Vault 76: The Jewel of the Program!' (Brand Superiority)</w:t>
      </w:r>
    </w:p>
    <w:p>
      <w:pPr>
        <w:spacing w:before="80" w:after="80"/>
      </w:pPr>
      <w:r>
        <w:rPr>
          <w:rFonts w:ascii="Arial" w:cs="Arial" w:eastAsia="Arial" w:hAnsi="Arial"/>
          <w:sz w:val="22"/>
          <w:szCs w:val="22"/>
        </w:rPr>
        <w:t xml:space="preserve">Vault 76 is — and must always be marketed as — the flagship Vault. Residents must believe they are the lucky ones, the chosen ones, the absolutely best-in-class ones. They must never learn about Vaults 77 through 112. They especially must never learn what is being tested in those other vaults. If a resident asks about Vault 112, Marketing is authorized to deploy the Cheerful Deflection Protocol: offer them a Nuka-Cola, admire their jumpsuit, and change the subject to the tricentennial party.</w:t>
      </w:r>
    </w:p>
    <w:p>
      <w:pPr>
        <w:pStyle w:val="Heading2"/>
        <w:spacing w:before="240" w:after="80"/>
      </w:pPr>
      <w:r>
        <w:rPr>
          <w:rFonts w:ascii="Arial" w:cs="Arial" w:eastAsia="Arial" w:hAnsi="Arial"/>
          <w:b/>
          <w:bCs/>
          <w:color w:val="2C5F9E"/>
          <w:sz w:val="26"/>
          <w:szCs w:val="26"/>
        </w:rPr>
        <w:t xml:space="preserve">PILLAR C: 'Reclamation Day: The Future Is Yours!' (Event Hype)</w:t>
      </w:r>
    </w:p>
    <w:p>
      <w:pPr>
        <w:spacing w:before="80" w:after="80"/>
      </w:pPr>
      <w:r>
        <w:rPr>
          <w:rFonts w:ascii="Arial" w:cs="Arial" w:eastAsia="Arial" w:hAnsi="Arial"/>
          <w:sz w:val="22"/>
          <w:szCs w:val="22"/>
        </w:rPr>
        <w:t xml:space="preserve">The Reclamation Day event must be framed not as a scheduled termination of vault habitation, but as a joyous graduation ceremony. We recommend the following rollout timeline:</w:t>
      </w:r>
    </w:p>
    <w:p>
      <w:pPr>
        <w:pStyle w:val="ListParagraph"/>
        <w:numPr>
          <w:ilvl w:val="0"/>
          <w:numId w:val="2"/>
        </w:numPr>
        <w:spacing w:before="40" w:after="40"/>
      </w:pPr>
      <w:r>
        <w:rPr>
          <w:rFonts w:ascii="Arial" w:cs="Arial" w:eastAsia="Arial" w:hAnsi="Arial"/>
          <w:sz w:val="22"/>
          <w:szCs w:val="22"/>
        </w:rPr>
        <w:t xml:space="preserve">18 months prior: Begin subtle 'surface anticipation' messaging in the vault newsletter. Feature upbeat articles such as 'Sun — Probably Still There!' and 'Fresh Air: More Than Just a Rumor!'</w:t>
      </w:r>
    </w:p>
    <w:p>
      <w:pPr>
        <w:pStyle w:val="ListParagraph"/>
        <w:numPr>
          <w:ilvl w:val="0"/>
          <w:numId w:val="2"/>
        </w:numPr>
        <w:spacing w:before="40" w:after="40"/>
      </w:pPr>
      <w:r>
        <w:rPr>
          <w:rFonts w:ascii="Arial" w:cs="Arial" w:eastAsia="Arial" w:hAnsi="Arial"/>
          <w:sz w:val="22"/>
          <w:szCs w:val="22"/>
        </w:rPr>
        <w:t xml:space="preserve">6 months prior: Host 'Reclamation Day Countdown' social events in Vault common areas. Mandatory attendance. Cake will be provided. Questioning the nature of the cake is grounds for a Form HR-22 disciplinary notation.</w:t>
      </w:r>
    </w:p>
    <w:p>
      <w:pPr>
        <w:pStyle w:val="ListParagraph"/>
        <w:numPr>
          <w:ilvl w:val="0"/>
          <w:numId w:val="2"/>
        </w:numPr>
        <w:spacing w:before="40" w:after="40"/>
      </w:pPr>
      <w:r>
        <w:rPr>
          <w:rFonts w:ascii="Arial" w:cs="Arial" w:eastAsia="Arial" w:hAnsi="Arial"/>
          <w:sz w:val="22"/>
          <w:szCs w:val="22"/>
        </w:rPr>
        <w:t xml:space="preserve">1 month prior: Distribute commemorative Pip-Boy decals and a complimentary Reclamation Day tote bag. The tote bag has been certified by our Legal team to be completely unrelated to any surface survival kit.</w:t>
      </w:r>
    </w:p>
    <w:p>
      <w:pPr>
        <w:pStyle w:val="ListParagraph"/>
        <w:numPr>
          <w:ilvl w:val="0"/>
          <w:numId w:val="2"/>
        </w:numPr>
        <w:spacing w:before="40" w:after="40"/>
      </w:pPr>
      <w:r>
        <w:rPr>
          <w:rFonts w:ascii="Arial" w:cs="Arial" w:eastAsia="Arial" w:hAnsi="Arial"/>
          <w:sz w:val="22"/>
          <w:szCs w:val="22"/>
        </w:rPr>
        <w:t xml:space="preserve">Reclamation Day itself: Upbeat music on the intercom. Festive jumpsuit inspection. Brief, pre-approved remarks by the Overseer. Vault door opens. Data collection begins. Marketing's job is done. Science's job begins.</w:t>
      </w:r>
    </w:p>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5: RISK MITIGATION &amp; INCONVENIENT INQUIRY SUPPRESSION</w:t>
      </w:r>
    </w:p>
    <w:p>
      <w:pPr>
        <w:spacing w:before="80" w:after="80"/>
      </w:pPr>
      <w:r>
        <w:rPr>
          <w:rFonts w:ascii="Arial" w:cs="Arial" w:eastAsia="Arial" w:hAnsi="Arial"/>
          <w:sz w:val="22"/>
          <w:szCs w:val="22"/>
        </w:rPr>
        <w:t xml:space="preserve">Our internal Behavioral Science Unit has identified four (4) categories of residents who may pose a statistically non-trivial risk to campaign morale integrity. These are not 'bad' residents — they are simply 'enthusiasm-deficient assets' who require additional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RISK PROFILE</w:t>
            </w:r>
          </w:p>
        </w:tc>
        <w:tc>
          <w:tcPr>
            <w:tcW w:type="dxa" w:w="356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IDENTIFIED BEHAVIOR</w:t>
            </w:r>
          </w:p>
        </w:tc>
        <w:tc>
          <w:tcPr>
            <w:tcW w:type="dxa" w:w="360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RECOMMENDED MARKETING RESPONSE</w:t>
            </w:r>
          </w:p>
        </w:tc>
      </w:tr>
      <w:tr>
        <w:tc>
          <w:tcPr>
            <w:tcW w:type="dxa" w:w="2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sz w:val="20"/>
                <w:szCs w:val="20"/>
              </w:rPr>
              <w:t xml:space="preserve">The Questioner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Asks why there are no windows, why rations decreased, or 'what exactly is the experiment'</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Deploy Slogans B-7 through B-11. Offer a Nuka-Cola. Log resident ID for HR follow-up.</w:t>
            </w:r>
          </w:p>
        </w:tc>
      </w:tr>
      <w:tr>
        <w:tc>
          <w:tcPr>
            <w:tcW w:type="dxa" w:w="2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sz w:val="20"/>
                <w:szCs w:val="20"/>
              </w:rPr>
              <w:t xml:space="preserve">The Wistful</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Expresses excessive sadness about the surface, "the sky," deceased loved ones, etc.</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Re-direct with Tricentennial party planning committee. Mandatory craft projects are swell morale boosters!</w:t>
            </w:r>
          </w:p>
        </w:tc>
      </w:tr>
      <w:tr>
        <w:tc>
          <w:tcPr>
            <w:tcW w:type="dxa" w:w="2200"/>
            <w:tcBorders>
              <w:top w:val="single" w:color="AAAAAA" w:sz="1"/>
              <w:left w:val="single" w:color="AAAAAA" w:sz="1"/>
              <w:bottom w:val="single" w:color="AAAAAA" w:sz="1"/>
              <w:right w:val="single" w:color="AAAAAA" w:sz="1"/>
            </w:tcBorders>
            <w:shd w:fill="FFF3CD" w:val="clear"/>
            <w:tcMar>
              <w:top w:type="dxa" w:w="80"/>
              <w:left w:type="dxa" w:w="120"/>
              <w:bottom w:type="dxa" w:w="80"/>
              <w:right w:type="dxa" w:w="120"/>
            </w:tcMar>
          </w:tcPr>
          <w:p>
            <w:r>
              <w:rPr>
                <w:rFonts w:ascii="Arial" w:cs="Arial" w:eastAsia="Arial" w:hAnsi="Arial"/>
                <w:b/>
                <w:bCs/>
                <w:sz w:val="20"/>
                <w:szCs w:val="20"/>
              </w:rPr>
              <w:t xml:space="preserve">The Organizer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Attempts to form 'resident councils,' 'petition committees,' or 'concerned groups of more than 3 people'</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Forward immediately to HR. Do NOT attempt to manage independently. Marketing is not equipped for this category. We repeat: ESCALATE.</w:t>
            </w:r>
          </w:p>
        </w:tc>
      </w:tr>
    </w:tbl>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6: APPROVED TRICENTENNIAL SLOGAN CANDIDATES</w:t>
      </w:r>
    </w:p>
    <w:p>
      <w:pPr>
        <w:spacing w:before="80" w:after="80"/>
      </w:pPr>
      <w:r>
        <w:rPr>
          <w:rFonts w:ascii="Arial" w:cs="Arial" w:eastAsia="Arial" w:hAnsi="Arial"/>
          <w:sz w:val="22"/>
          <w:szCs w:val="22"/>
        </w:rPr>
        <w:t xml:space="preserve">The following slogans have been reviewed, approved, and alliterated by the Vault-Tec Slogan Committee (a real committee that meets on real Tuesdays). All slogans have been pre-cleared by Legal, pre-screened by the Behavioral Science Unit, and pre-enjoyed by at least one (1) Marketing intern.</w:t>
      </w:r>
    </w:p>
    <w:p>
      <w:pPr>
        <w:pStyle w:val="ListParagraph"/>
        <w:numPr>
          <w:ilvl w:val="0"/>
          <w:numId w:val="2"/>
        </w:numPr>
        <w:spacing w:before="40" w:after="40"/>
      </w:pPr>
      <w:r>
        <w:rPr>
          <w:rFonts w:ascii="Arial" w:cs="Arial" w:eastAsia="Arial" w:hAnsi="Arial"/>
          <w:sz w:val="22"/>
          <w:szCs w:val="22"/>
        </w:rPr>
        <w:t xml:space="preserve">"Vault 76: Because You're One of the Good Ones!" [Flagship slogan. High-performing across all demographic groups except the aforementioned Questioners.]</w:t>
      </w:r>
    </w:p>
    <w:p>
      <w:pPr>
        <w:pStyle w:val="ListParagraph"/>
        <w:numPr>
          <w:ilvl w:val="0"/>
          <w:numId w:val="2"/>
        </w:numPr>
        <w:spacing w:before="40" w:after="40"/>
      </w:pPr>
      <w:r>
        <w:rPr>
          <w:rFonts w:ascii="Arial" w:cs="Arial" w:eastAsia="Arial" w:hAnsi="Arial"/>
          <w:sz w:val="22"/>
          <w:szCs w:val="22"/>
        </w:rPr>
        <w:t xml:space="preserve">"Reclamation Day: It's Not the End. It's the Beginning. Of Something. Out There." [Approved with the note that 'of Something. Out There.' must always be printed in a jaunty font to imply excitement rather than existential uncertainty.]</w:t>
      </w:r>
    </w:p>
    <w:p>
      <w:pPr>
        <w:pStyle w:val="ListParagraph"/>
        <w:numPr>
          <w:ilvl w:val="0"/>
          <w:numId w:val="2"/>
        </w:numPr>
        <w:spacing w:before="40" w:after="40"/>
      </w:pPr>
      <w:r>
        <w:rPr>
          <w:rFonts w:ascii="Arial" w:cs="Arial" w:eastAsia="Arial" w:hAnsi="Arial"/>
          <w:sz w:val="22"/>
          <w:szCs w:val="22"/>
        </w:rPr>
        <w:t xml:space="preserve">"America Built You a Home. Vault-Tec Built You a Future." [Legal note: 'Future' is intentionally non-specific. Do not elaborate if asked.]</w:t>
      </w:r>
    </w:p>
    <w:p>
      <w:pPr>
        <w:pStyle w:val="ListParagraph"/>
        <w:numPr>
          <w:ilvl w:val="0"/>
          <w:numId w:val="2"/>
        </w:numPr>
        <w:spacing w:before="40" w:after="40"/>
      </w:pPr>
      <w:r>
        <w:rPr>
          <w:rFonts w:ascii="Arial" w:cs="Arial" w:eastAsia="Arial" w:hAnsi="Arial"/>
          <w:sz w:val="22"/>
          <w:szCs w:val="22"/>
        </w:rPr>
        <w:t xml:space="preserve">"The Surface Won't Know What Hit It — And Neither Will You! Ha Ha!" [This slogan is approved for INTERNAL MOTIVATIONAL PURPOSES ONLY. It is not to appear on any resident-facing material under any circumstances whatsoever. Its presence in this document is a formatting error.]</w:t>
      </w:r>
    </w:p>
    <w:p>
      <w:pPr>
        <w:pStyle w:val="ListParagraph"/>
        <w:numPr>
          <w:ilvl w:val="0"/>
          <w:numId w:val="2"/>
        </w:numPr>
        <w:spacing w:before="40" w:after="40"/>
      </w:pPr>
      <w:r>
        <w:rPr>
          <w:rFonts w:ascii="Arial" w:cs="Arial" w:eastAsia="Arial" w:hAnsi="Arial"/>
          <w:sz w:val="22"/>
          <w:szCs w:val="22"/>
        </w:rPr>
        <w:t xml:space="preserve">"Step Out. Stand Tall. You're a Vault-Tec Graduate!" [Preferred for Reclamation Day banners, jumpsuit patches, and the commemorative tote bag. Note: 'Graduate' implies successful completion of an undisclosed program. This is legally accurate.]</w:t>
      </w:r>
    </w:p>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7: BUDGET ALLOCATION &amp; REQUISITION REQUIREMENTS</w:t>
      </w:r>
    </w:p>
    <w:p>
      <w:pPr>
        <w:spacing w:before="80" w:after="80"/>
      </w:pPr>
      <w:r>
        <w:rPr>
          <w:rFonts w:ascii="Arial" w:cs="Arial" w:eastAsia="Arial" w:hAnsi="Arial"/>
          <w:sz w:val="22"/>
          <w:szCs w:val="22"/>
        </w:rPr>
        <w:t xml:space="preserve">All promotional materials must be requisitioned through the standard Vault-Tec procurement process. Given the highly sensitive nature of this campaign, non-compliance with requisition protocols will be treated as a Class III Procedural Irregularity and logged accordingly. The relevant forms are peachy and easy to complete — assuming you have all five (5) supporting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268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REQUISITION FORM</w:t>
            </w:r>
          </w:p>
        </w:tc>
        <w:tc>
          <w:tcPr>
            <w:tcW w:type="dxa" w:w="2680"/>
            <w:tcBorders>
              <w:top w:val="single" w:color="AAAAAA" w:sz="1"/>
              <w:left w:val="single" w:color="AAAAAA" w:sz="1"/>
              <w:bottom w:val="single" w:color="AAAAAA" w:sz="1"/>
              <w:right w:val="single" w:color="AAAAAA"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RATIONS ALLOCATED</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Tricentennial party bunting, balloons, and streamers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MKT-76-A (triplicate)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 units Dandy Boy Apples (approved budget)</w:t>
            </w:r>
          </w:p>
        </w:tc>
      </w:tr>
      <w:tr>
        <w:tc>
          <w:tcPr>
            <w:tcW w:type="dxa" w:w="4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Commemorative tote bags (122 units + 10% overage)</w:t>
            </w:r>
          </w:p>
        </w:tc>
        <w:tc>
          <w:tcPr>
            <w:tcW w:type="dxa" w:w="2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Form MKT-76-TOTE (duplicate)</w:t>
            </w:r>
          </w:p>
        </w:tc>
        <w:tc>
          <w:tcPr>
            <w:tcW w:type="dxa" w:w="2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8 units Nuka-Cola (per unit cost)</w:t>
            </w:r>
          </w:p>
        </w:tc>
      </w:tr>
      <w:tr>
        <w:tc>
          <w:tcPr>
            <w:tcW w:type="dxa" w:w="4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Poster printing (12 approved designs)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Form MKT-PRINT-19 (original + 4 copies)</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 units Salisbury Steak (premium)</w:t>
            </w:r>
          </w:p>
        </w:tc>
      </w:tr>
      <w:tr>
        <w:tc>
          <w:tcPr>
            <w:tcW w:type="dxa" w:w="400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Emergency slogan revision (contingency fund)</w:t>
            </w:r>
          </w:p>
        </w:tc>
        <w:tc>
          <w:tcPr>
            <w:tcW w:type="dxa" w:w="2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Form MKT-PANIC-1 (classified — 7 copies)</w:t>
            </w:r>
          </w:p>
        </w:tc>
        <w:tc>
          <w:tcPr>
            <w:tcW w:type="dxa" w:w="2680"/>
            <w:tcBorders>
              <w:top w:val="single" w:color="AAAAAA" w:sz="1"/>
              <w:left w:val="single" w:color="AAAAAA" w:sz="1"/>
              <w:bottom w:val="single" w:color="AAAAAA" w:sz="1"/>
              <w:right w:val="single" w:color="AAAAAA" w:sz="1"/>
            </w:tcBorders>
            <w:shd w:fill="D6E4F7" w:val="clear"/>
            <w:tcMar>
              <w:top w:type="dxa" w:w="80"/>
              <w:left w:type="dxa" w:w="120"/>
              <w:bottom w:type="dxa" w:w="80"/>
              <w:right w:type="dxa" w:w="120"/>
            </w:tcMar>
          </w:tcPr>
          <w:p>
            <w:r>
              <w:rPr>
                <w:rFonts w:ascii="Arial" w:cs="Arial" w:eastAsia="Arial" w:hAnsi="Arial"/>
                <w:sz w:val="20"/>
                <w:szCs w:val="20"/>
              </w:rPr>
              <w:t xml:space="preserve">TBD pending geopolitical conditions</w:t>
            </w:r>
          </w:p>
        </w:tc>
      </w:tr>
    </w:tbl>
    <w:p>
      <w:pPr>
        <w:pBdr>
          <w:bottom w:val="single" w:color="1A3A6B" w:sz="6" w:space="1"/>
        </w:pBdr>
        <w:spacing w:before="160" w:after="160"/>
      </w:pPr>
    </w:p>
    <w:p>
      <w:pPr>
        <w:pStyle w:val="Heading1"/>
        <w:spacing w:before="360" w:after="120"/>
      </w:pPr>
      <w:r>
        <w:rPr>
          <w:rFonts w:ascii="Arial" w:cs="Arial" w:eastAsia="Arial" w:hAnsi="Arial"/>
          <w:b/>
          <w:bCs/>
          <w:color w:val="1A3A6B"/>
          <w:sz w:val="32"/>
          <w:szCs w:val="32"/>
        </w:rPr>
        <w:t xml:space="preserve">SECTION 8: CLOSING REMARKS FROM THE DIRECTOR</w:t>
      </w:r>
    </w:p>
    <w:p>
      <w:pPr>
        <w:spacing w:before="80" w:after="80"/>
      </w:pPr>
      <w:r>
        <w:rPr>
          <w:rFonts w:ascii="Arial" w:cs="Arial" w:eastAsia="Arial" w:hAnsi="Arial"/>
          <w:b/>
          <w:bCs/>
          <w:color w:val="1A3A6B"/>
          <w:sz w:val="22"/>
          <w:szCs w:val="22"/>
        </w:rPr>
        <w:t xml:space="preserve">Golly, team — what an industry-leading opportunity we have in front of us!</w:t>
      </w:r>
    </w:p>
    <w:p>
      <w:pPr>
        <w:spacing w:before="80" w:after="80"/>
      </w:pPr>
      <w:r>
        <w:rPr>
          <w:rFonts w:ascii="Arial" w:cs="Arial" w:eastAsia="Arial" w:hAnsi="Arial"/>
          <w:sz w:val="22"/>
          <w:szCs w:val="22"/>
        </w:rPr>
        <w:t xml:space="preserve">The Tricentennial represents the single greatest convergence of marketing opportunity and, if our colleagues in certain other departments are to be believed, absolute historical finality that Vault-Tec has ever encountered. It is therefore imperative that we approach this campaign with the same professionalism, enthusiasm, and cheerful indifference to inconvenient ethical questions that has always set the Vault-Tec Marketing Division apart.</w:t>
      </w:r>
    </w:p>
    <w:p>
      <w:pPr>
        <w:spacing w:before="80" w:after="80"/>
      </w:pPr>
      <w:r>
        <w:rPr>
          <w:rFonts w:ascii="Arial" w:cs="Arial" w:eastAsia="Arial" w:hAnsi="Arial"/>
          <w:sz w:val="22"/>
          <w:szCs w:val="22"/>
        </w:rPr>
        <w:t xml:space="preserve">Remember: our residents are not merely people. They are valued participants in humanity's most ambitious data-acquisition initiative! Their continued cooperation, voluntary or otherwise, is the very foundation upon which tomorrow's scientific breakthroughs will be built. The least we can do is make sure they feel really, genuinely great about it right up until the data collection phase begins.</w:t>
      </w:r>
    </w:p>
    <w:p>
      <w:pPr>
        <w:spacing w:before="80" w:after="80"/>
      </w:pPr>
      <w:r>
        <w:rPr>
          <w:rFonts w:ascii="Arial" w:cs="Arial" w:eastAsia="Arial" w:hAnsi="Arial"/>
          <w:sz w:val="22"/>
          <w:szCs w:val="22"/>
        </w:rPr>
        <w:t xml:space="preserve">Now get out there, plaster those walls with approved slogans, and let's give Vault 76 the send-off it — and its science — deserves!</w:t>
      </w:r>
    </w:p>
    <w:p>
      <w:pPr>
        <w:spacing w:before="160" w:after="40"/>
      </w:pPr>
      <w:r>
        <w:rPr>
          <w:rFonts w:ascii="Arial" w:cs="Arial" w:eastAsia="Arial" w:hAnsi="Arial"/>
          <w:i/>
          <w:iCs/>
          <w:sz w:val="22"/>
          <w:szCs w:val="22"/>
        </w:rPr>
        <w:t xml:space="preserve">Warmly and with peak corporate enthusiasm,</w:t>
      </w:r>
    </w:p>
    <w:p>
      <w:pPr>
        <w:spacing w:before="0" w:after="40"/>
      </w:pPr>
      <w:r>
        <w:rPr>
          <w:rFonts w:ascii="Arial" w:cs="Arial" w:eastAsia="Arial" w:hAnsi="Arial"/>
          <w:b/>
          <w:bCs/>
          <w:sz w:val="22"/>
          <w:szCs w:val="22"/>
        </w:rPr>
        <w:t xml:space="preserve">B. Barnsworth</w:t>
      </w:r>
    </w:p>
    <w:p>
      <w:pPr>
        <w:spacing w:before="0" w:after="40"/>
      </w:pPr>
      <w:r>
        <w:rPr>
          <w:rFonts w:ascii="Arial" w:cs="Arial" w:eastAsia="Arial" w:hAnsi="Arial"/>
          <w:sz w:val="22"/>
          <w:szCs w:val="22"/>
        </w:rPr>
        <w:t xml:space="preserve">Senior Director, Resident Enthusiasm Management</w:t>
      </w:r>
    </w:p>
    <w:p>
      <w:pPr>
        <w:spacing w:before="0" w:after="40"/>
      </w:pPr>
      <w:r>
        <w:rPr>
          <w:rFonts w:ascii="Arial" w:cs="Arial" w:eastAsia="Arial" w:hAnsi="Arial"/>
          <w:sz w:val="22"/>
          <w:szCs w:val="22"/>
        </w:rPr>
        <w:t xml:space="preserve">Vault-Tec Corporation — Marketing Division</w:t>
      </w:r>
    </w:p>
    <w:p>
      <w:pPr>
        <w:pBdr>
          <w:bottom w:val="single" w:color="1A3A6B" w:sz="6" w:space="1"/>
        </w:pBdr>
        <w:spacing w:before="160" w:after="160"/>
      </w:pPr>
    </w:p>
    <w:p>
      <w:pPr>
        <w:spacing w:before="160" w:after="40"/>
        <w:jc w:val="center"/>
      </w:pPr>
      <w:r>
        <w:rPr>
          <w:rFonts w:ascii="Arial" w:cs="Arial" w:eastAsia="Arial" w:hAnsi="Arial"/>
          <w:b/>
          <w:bCs/>
          <w:caps/>
          <w:color w:val="1A3A6B"/>
          <w:sz w:val="20"/>
          <w:szCs w:val="20"/>
        </w:rPr>
        <w:t xml:space="preserve">VAULT-TEC CORPORATION</w:t>
      </w:r>
    </w:p>
    <w:p>
      <w:pPr>
        <w:spacing w:before="0" w:after="40"/>
        <w:jc w:val="center"/>
      </w:pPr>
      <w:r>
        <w:rPr>
          <w:rFonts w:ascii="Arial" w:cs="Arial" w:eastAsia="Arial" w:hAnsi="Arial"/>
          <w:i/>
          <w:iCs/>
          <w:color w:val="555555"/>
          <w:sz w:val="18"/>
          <w:szCs w:val="18"/>
        </w:rPr>
        <w:t xml:space="preserve">"Securing Your Future Before You Even Know You Need Us To!"</w:t>
      </w:r>
    </w:p>
    <w:p>
      <w:pPr>
        <w:spacing w:before="0" w:after="40"/>
        <w:jc w:val="center"/>
      </w:pPr>
      <w:r>
        <w:rPr>
          <w:rFonts w:ascii="Arial" w:cs="Arial" w:eastAsia="Arial" w:hAnsi="Arial"/>
          <w:color w:val="888888"/>
          <w:sz w:val="16"/>
          <w:szCs w:val="16"/>
        </w:rPr>
        <w:t xml:space="preserve">This document is the property of Vault-Tec Corporation. Unauthorized disclosure is a Class II Vault Infraction punishable by immediate reassignment to Vault 101. Form MKT-76-PROMO | Filed in Triplicate.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6B" w:sz="4" w:space="1"/>
      </w:pBdr>
      <w:spacing w:before="120"/>
      <w:jc w:val="center"/>
    </w:pPr>
    <w:r>
      <w:rPr>
        <w:rFonts w:ascii="Arial" w:cs="Arial" w:eastAsia="Arial" w:hAnsi="Arial"/>
        <w:color w:val="666666"/>
        <w:sz w:val="16"/>
        <w:szCs w:val="16"/>
      </w:rPr>
      <w:t xml:space="preserve">CLASSIFIED: MARKETING EYES ONLY  |  Form MKT-76-PROMO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spacing w:after="120"/>
      <w:jc w:val="right"/>
    </w:pPr>
    <w:r>
      <w:rPr>
        <w:rFonts w:ascii="Arial" w:cs="Arial" w:eastAsia="Arial" w:hAnsi="Arial"/>
        <w:b/>
        <w:bCs/>
        <w:color w:val="666666"/>
        <w:sz w:val="16"/>
        <w:szCs w:val="16"/>
      </w:rPr>
      <w:t xml:space="preserve">VAULT-TEC CORPORATION  |  MARKETING DIVISION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C5F9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2026-02-23T15:05:26.008Z</dcterms:created>
  <dcterms:modified xsi:type="dcterms:W3CDTF">2026-02-23T15:05:26.009Z</dcterms:modified>
</cp:coreProperties>
</file>

<file path=docProps/custom.xml><?xml version="1.0" encoding="utf-8"?>
<Properties xmlns="http://schemas.openxmlformats.org/officeDocument/2006/custom-properties" xmlns:vt="http://schemas.openxmlformats.org/officeDocument/2006/docPropsVTypes"/>
</file>