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22222" w:sz="8" w:space="4"/>
        </w:pBdr>
        <w:spacing w:before="240" w:after="80"/>
        <w:jc w:val="center"/>
      </w:pPr>
      <w:r>
        <w:rPr>
          <w:rFonts w:ascii="Arial" w:cs="Arial" w:eastAsia="Arial" w:hAnsi="Arial"/>
          <w:b/>
          <w:bCs/>
          <w:caps/>
          <w:color w:val="1F3864"/>
          <w:sz w:val="36"/>
          <w:szCs w:val="36"/>
        </w:rPr>
        <w:t xml:space="preserve">VAULT-TEC CORPORATION</w:t>
      </w:r>
    </w:p>
    <w:p>
      <w:pPr>
        <w:spacing w:before="80" w:after="60"/>
        <w:jc w:val="center"/>
      </w:pPr>
      <w:r>
        <w:rPr>
          <w:rFonts w:ascii="Arial" w:cs="Arial" w:eastAsia="Arial" w:hAnsi="Arial"/>
          <w:i/>
          <w:iCs/>
          <w:color w:val="444444"/>
          <w:sz w:val="22"/>
          <w:szCs w:val="22"/>
        </w:rPr>
        <w:t xml:space="preserve">Department of Public Positivity &amp; Isotope Integration Messaging</w:t>
      </w:r>
    </w:p>
    <w:p>
      <w:pPr>
        <w:spacing w:before="40" w:after="300"/>
        <w:jc w:val="center"/>
      </w:pPr>
      <w:r>
        <w:rPr>
          <w:rFonts w:ascii="Arial" w:cs="Arial" w:eastAsia="Arial" w:hAnsi="Arial"/>
          <w:i/>
          <w:iCs/>
          <w:color w:val="888888"/>
          <w:sz w:val="20"/>
          <w:szCs w:val="20"/>
        </w:rPr>
        <w:t xml:space="preserve">"A Brighter Tomorrow,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Title: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of the World" Crisis Response Messaging Playbook</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Date:</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October 2077</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Department: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Marketing</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Intended Format:</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Word Document (.docx)</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Classification:</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CONFIDENTIAL — Marketing Personnel Only</w:t>
            </w:r>
          </w:p>
        </w:tc>
      </w:tr>
      <w:tr>
        <w:tc>
          <w:tcPr>
            <w:tcW w:type="dxa" w:w="2200"/>
            <w:tcBorders>
              <w:top w:val="single" w:color="CCCCCC" w:sz="1"/>
              <w:left w:val="single" w:color="CCCCCC" w:sz="1"/>
              <w:bottom w:val="single" w:color="CCCCCC" w:sz="1"/>
              <w:right w:val="single" w:color="CCCCCC" w:sz="1"/>
            </w:tcBorders>
            <w:shd w:fill="DDEEFF" w:val="clear"/>
            <w:tcMar>
              <w:top w:type="dxa" w:w="80"/>
              <w:left w:type="dxa" w:w="120"/>
              <w:bottom w:type="dxa" w:w="80"/>
              <w:right w:type="dxa" w:w="120"/>
            </w:tcMar>
          </w:tcPr>
          <w:p>
            <w:r>
              <w:rPr>
                <w:rFonts w:ascii="Arial" w:cs="Arial" w:eastAsia="Arial" w:hAnsi="Arial"/>
                <w:b/>
                <w:bCs/>
                <w:sz w:val="20"/>
                <w:szCs w:val="20"/>
              </w:rPr>
              <w:t xml:space="preserve">Document Status: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PRE-STAGED — Deploy Upon Confirmed Global Annihilation Event</w:t>
            </w:r>
          </w:p>
        </w:tc>
      </w:tr>
    </w:tbl>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4"/>
              <w:bottom w:val="single" w:color="B22222" w:sz="4"/>
              <w:right w:val="single" w:color="B22222" w:sz="4"/>
            </w:tcBorders>
            <w:shd w:fill="FFF0F0" w:val="clear"/>
            <w:tcMar>
              <w:top w:type="dxa" w:w="160"/>
              <w:left w:type="dxa" w:w="200"/>
              <w:bottom w:type="dxa" w:w="160"/>
              <w:right w:type="dxa" w:w="200"/>
            </w:tcMar>
          </w:tcPr>
          <w:p>
            <w:pPr>
              <w:jc w:val="center"/>
            </w:pPr>
            <w:r>
              <w:rPr>
                <w:rFonts w:ascii="Arial" w:cs="Arial" w:eastAsia="Arial" w:hAnsi="Arial"/>
                <w:b/>
                <w:bCs/>
                <w:caps/>
                <w:color w:val="B22222"/>
                <w:sz w:val="26"/>
                <w:szCs w:val="26"/>
              </w:rPr>
              <w:t xml:space="preserve">!!! ACTIVATION NOTICE !!!</w:t>
            </w:r>
          </w:p>
          <w:p>
            <w:pPr>
              <w:spacing w:before="60"/>
              <w:jc w:val="center"/>
            </w:pPr>
            <w:r>
              <w:rPr>
                <w:rFonts w:ascii="Arial" w:cs="Arial" w:eastAsia="Arial" w:hAnsi="Arial"/>
                <w:i/>
                <w:iCs/>
                <w:color w:val="B22222"/>
                <w:sz w:val="20"/>
                <w:szCs w:val="20"/>
              </w:rPr>
              <w:t xml:space="preserve">This document is to be broadcast ONLY upon confirmation of a Class-Omega Global Spontaneous Isotope Integration Event (a.k.a. "The Big Peachy Boom"). Premature deployment voids all resident loyalty metrics. Please file Form VT-PR-EOW-9 in triplicate before broadcasting.</w:t>
            </w:r>
          </w:p>
        </w:tc>
      </w:tr>
    </w:tbl>
    <w:p>
      <w:pPr>
        <w:spacing w:before="80" w:after="80"/>
      </w:pPr>
      <w:r>
        <w:t xml:space="preserve"/>
      </w:r>
    </w:p>
    <w:p>
      <w:pPr>
        <w:pStyle w:val="Heading1"/>
        <w:spacing w:before="320" w:after="160"/>
      </w:pPr>
      <w:r>
        <w:rPr>
          <w:rFonts w:ascii="Arial" w:cs="Arial" w:eastAsia="Arial" w:hAnsi="Arial"/>
          <w:b/>
          <w:bCs/>
          <w:color w:val="1F3864"/>
          <w:sz w:val="28"/>
          <w:szCs w:val="28"/>
        </w:rPr>
        <w:t xml:space="preserve">SECTION I: EXECUTIVE SUMMARY &amp; STRATEGIC OBJECTIVES</w:t>
      </w:r>
    </w:p>
    <w:p>
      <w:pPr>
        <w:spacing w:before="80" w:after="120"/>
      </w:pPr>
      <w:r>
        <w:rPr>
          <w:rFonts w:ascii="Arial" w:cs="Arial" w:eastAsia="Arial" w:hAnsi="Arial"/>
          <w:sz w:val="22"/>
          <w:szCs w:val="22"/>
        </w:rPr>
        <w:t xml:space="preserve">Golly, what a swell opportunity! In the event of a total, planet-wide, civilization-ending nuclear exchange — which Vault-Tec's actuarial team rates as a "highly probable and frankly overdue" outcome — it is imperative that our brand messaging remains tip-top, upbeat, and legally defensible.</w:t>
      </w:r>
    </w:p>
    <w:p>
      <w:pPr>
        <w:spacing w:before="80" w:after="80"/>
      </w:pPr>
      <w:r>
        <w:t xml:space="preserve"/>
      </w:r>
    </w:p>
    <w:p>
      <w:pPr>
        <w:spacing w:before="80" w:after="120"/>
      </w:pPr>
      <w:r>
        <w:rPr>
          <w:rFonts w:ascii="Arial" w:cs="Arial" w:eastAsia="Arial" w:hAnsi="Arial"/>
          <w:sz w:val="22"/>
          <w:szCs w:val="22"/>
        </w:rPr>
        <w:t xml:space="preserve">This playbook provides pre-approved, field-tested communications scripts for the following scenarios, each designed to maximize resident compliance and data-acquisition continuity:</w:t>
      </w:r>
    </w:p>
    <w:p>
      <w:pPr>
        <w:pStyle w:val="ListParagraph"/>
        <w:numPr>
          <w:ilvl w:val="0"/>
          <w:numId w:val="2"/>
        </w:numPr>
        <w:spacing w:before="60" w:after="60"/>
      </w:pPr>
      <w:r>
        <w:rPr>
          <w:rFonts w:ascii="Arial" w:cs="Arial" w:eastAsia="Arial" w:hAnsi="Arial"/>
          <w:sz w:val="22"/>
          <w:szCs w:val="22"/>
        </w:rPr>
        <w:t xml:space="preserve">Scenario A: 'Whoopsie-Daisy' (Single-city spontaneous isotope integration event)</w:t>
      </w:r>
    </w:p>
    <w:p>
      <w:pPr>
        <w:pStyle w:val="ListParagraph"/>
        <w:numPr>
          <w:ilvl w:val="0"/>
          <w:numId w:val="2"/>
        </w:numPr>
        <w:spacing w:before="60" w:after="60"/>
      </w:pPr>
      <w:r>
        <w:rPr>
          <w:rFonts w:ascii="Arial" w:cs="Arial" w:eastAsia="Arial" w:hAnsi="Arial"/>
          <w:sz w:val="22"/>
          <w:szCs w:val="22"/>
        </w:rPr>
        <w:t xml:space="preserve">Scenario B: 'Regional Reorganization' (Multi-national simultaneous detonation sequence)</w:t>
      </w:r>
    </w:p>
    <w:p>
      <w:pPr>
        <w:pStyle w:val="ListParagraph"/>
        <w:numPr>
          <w:ilvl w:val="0"/>
          <w:numId w:val="2"/>
        </w:numPr>
        <w:spacing w:before="60" w:after="60"/>
      </w:pPr>
      <w:r>
        <w:rPr>
          <w:rFonts w:ascii="Arial" w:cs="Arial" w:eastAsia="Arial" w:hAnsi="Arial"/>
          <w:sz w:val="22"/>
          <w:szCs w:val="22"/>
        </w:rPr>
        <w:t xml:space="preserve">Scenario C: 'The Full Monty' (Complete eradication of surface-dwelling biosphere; extinction-level asset re-classification)</w:t>
      </w:r>
    </w:p>
    <w:p>
      <w:pPr>
        <w:spacing w:before="80" w:after="80"/>
      </w:pPr>
      <w:r>
        <w:t xml:space="preserve"/>
      </w:r>
    </w:p>
    <w:p>
      <w:pPr>
        <w:spacing w:before="80" w:after="120"/>
      </w:pPr>
      <w:r>
        <w:rPr>
          <w:rFonts w:ascii="Arial" w:cs="Arial" w:eastAsia="Arial" w:hAnsi="Arial"/>
          <w:i/>
          <w:iCs/>
          <w:sz w:val="22"/>
          <w:szCs w:val="22"/>
        </w:rPr>
        <w:t xml:space="preserve">In ALL scenarios, the Communications Directive is identical: project confidence, celebrate the vault, and absolutely, under no circumstances, use the word 'dead.'</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SECTION II: APPROVED RADIO BROADCAST SCRIPTS</w:t>
      </w:r>
    </w:p>
    <w:p>
      <w:pPr>
        <w:pStyle w:val="Heading2"/>
        <w:spacing w:before="240" w:after="120"/>
      </w:pPr>
      <w:r>
        <w:rPr>
          <w:rFonts w:ascii="Arial" w:cs="Arial" w:eastAsia="Arial" w:hAnsi="Arial"/>
          <w:b/>
          <w:bCs/>
          <w:color w:val="2E5090"/>
          <w:sz w:val="24"/>
          <w:szCs w:val="24"/>
        </w:rPr>
        <w:t xml:space="preserve">Script 2-A: The 'Good Morning, Wasteland!' Broadcast</w:t>
      </w:r>
    </w:p>
    <w:p>
      <w:pPr>
        <w:spacing w:before="80" w:after="120"/>
      </w:pPr>
      <w:r>
        <w:rPr>
          <w:rFonts w:ascii="Arial" w:cs="Arial" w:eastAsia="Arial" w:hAnsi="Arial"/>
          <w:sz w:val="22"/>
          <w:szCs w:val="22"/>
        </w:rPr>
        <w:t xml:space="preserve">(Tone: Cheerful morning DJ. Recommended broadcast interval: Every 90 minutes for the first 200 years, or until transmitter failure, whichever comes first.)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pPr>
              <w:spacing w:after="100"/>
            </w:pPr>
            <w:r>
              <w:rPr>
                <w:rFonts w:ascii="Arial" w:cs="Arial" w:eastAsia="Arial" w:hAnsi="Arial"/>
                <w:b/>
                <w:bCs/>
                <w:color w:val="2E5090"/>
                <w:sz w:val="20"/>
                <w:szCs w:val="20"/>
              </w:rPr>
              <w:t xml:space="preserve">[RECORDED BROADCAST — APPROVED SCRIPT VT-RAD-2A]</w:t>
            </w:r>
          </w:p>
          <w:p>
            <w:pPr>
              <w:spacing w:after="100"/>
            </w:pPr>
            <w:r>
              <w:rPr>
                <w:rFonts w:ascii="Arial" w:cs="Arial" w:eastAsia="Arial" w:hAnsi="Arial"/>
                <w:i/>
                <w:iCs/>
                <w:sz w:val="21"/>
                <w:szCs w:val="21"/>
              </w:rPr>
              <w:t xml:space="preserve">"Good morning, future heroes of a better tomorrow! This is your pal, the Vault-Tec Automated Positivity System, coming to you LIVE from a frequency that is absolutely NOT surrounded by a smoldering, irradiated hellscape! Outside, the atmosphere is enjoying a period of SPONTANEOUS ISOTOPE INTEGRATION — which our industry-leading scientists assure us is just nature's way of saying 'makeover!' Surface temperatures are a brisk and invigorating 4,000 degrees in some regions! Remember: those aren't corpses — those are former valued participants who have completed their data contribution cycle! Stay inside, stay peppy, and have a GEE-WHIZ fantastic day in your Vault-Tec-brand future! Vault-Tec: We were Ready!"</w:t>
            </w:r>
          </w:p>
        </w:tc>
      </w:tr>
    </w:tbl>
    <w:p>
      <w:pPr>
        <w:spacing w:before="80" w:after="80"/>
      </w:pPr>
      <w:r>
        <w:t xml:space="preserve"/>
      </w:r>
    </w:p>
    <w:p>
      <w:pPr>
        <w:pStyle w:val="Heading2"/>
        <w:spacing w:before="240" w:after="120"/>
      </w:pPr>
      <w:r>
        <w:rPr>
          <w:rFonts w:ascii="Arial" w:cs="Arial" w:eastAsia="Arial" w:hAnsi="Arial"/>
          <w:b/>
          <w:bCs/>
          <w:color w:val="2E5090"/>
          <w:sz w:val="24"/>
          <w:szCs w:val="24"/>
        </w:rPr>
        <w:t xml:space="preserve">Script 2-B: The 'Sympathy &amp; Upsell' Broadcast</w:t>
      </w:r>
    </w:p>
    <w:p>
      <w:pPr>
        <w:spacing w:before="80" w:after="120"/>
      </w:pPr>
      <w:r>
        <w:rPr>
          <w:rFonts w:ascii="Arial" w:cs="Arial" w:eastAsia="Arial" w:hAnsi="Arial"/>
          <w:sz w:val="22"/>
          <w:szCs w:val="22"/>
        </w:rPr>
        <w:t xml:space="preserve">(Tone: Warm, empathetic, but pivoting swiftly to brand reinforcement. For deployment 72 hours post-event, after initial shock has become manageable grief-adjacent compliance.)</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pPr>
              <w:spacing w:after="100"/>
            </w:pPr>
            <w:r>
              <w:rPr>
                <w:rFonts w:ascii="Arial" w:cs="Arial" w:eastAsia="Arial" w:hAnsi="Arial"/>
                <w:b/>
                <w:bCs/>
                <w:color w:val="2E5090"/>
                <w:sz w:val="20"/>
                <w:szCs w:val="20"/>
              </w:rPr>
              <w:t xml:space="preserve">[RECORDED BROADCAST — APPROVED SCRIPT VT-RAD-2B]</w:t>
            </w:r>
          </w:p>
          <w:p>
            <w:pPr>
              <w:spacing w:after="100"/>
            </w:pPr>
            <w:r>
              <w:rPr>
                <w:rFonts w:ascii="Arial" w:cs="Arial" w:eastAsia="Arial" w:hAnsi="Arial"/>
                <w:i/>
                <w:iCs/>
                <w:sz w:val="21"/>
                <w:szCs w:val="21"/>
              </w:rPr>
              <w:t xml:space="preserve">"Hey there, sport. We know things look a little... reorganized out there. Some of your surface-side loved ones may have recently undergone an unplanned expiration event — and we understand that can be a real bummer! But here's the peachy news: YOU didn't! And that's all thanks to the forward-thinking, totally-not-in-any-way-suspicious foresight of Vault-Tec Corporation! While others were investing in 'relationships' and 'sunlight,' you were investing in premium, nuclear-hardened, Vault-Tec-certified tomorrow! So chin up, champ! Your neighbors may be part of the geological record now, but YOU have a 10 x 10 sleeping berth and access to a bi-weekly ration of Pork N' Beans! Life is swell! Vault-Tec: For When You're the Last One Standing!"</w:t>
            </w:r>
          </w:p>
        </w:tc>
      </w:tr>
    </w:tbl>
    <w:p>
      <w:pPr>
        <w:spacing w:before="80" w:after="80"/>
      </w:pPr>
      <w:r>
        <w:t xml:space="preserve"/>
      </w:r>
    </w:p>
    <w:p>
      <w:pPr>
        <w:pStyle w:val="Heading2"/>
        <w:spacing w:before="240" w:after="120"/>
      </w:pPr>
      <w:r>
        <w:rPr>
          <w:rFonts w:ascii="Arial" w:cs="Arial" w:eastAsia="Arial" w:hAnsi="Arial"/>
          <w:b/>
          <w:bCs/>
          <w:color w:val="2E5090"/>
          <w:sz w:val="24"/>
          <w:szCs w:val="24"/>
        </w:rPr>
        <w:t xml:space="preserve">Script 2-C: 'Managing the Despair Dip' — Long-Term Morale Broadcast</w:t>
      </w:r>
    </w:p>
    <w:p>
      <w:pPr>
        <w:spacing w:before="80" w:after="120"/>
      </w:pPr>
      <w:r>
        <w:rPr>
          <w:rFonts w:ascii="Arial" w:cs="Arial" w:eastAsia="Arial" w:hAnsi="Arial"/>
          <w:sz w:val="22"/>
          <w:szCs w:val="22"/>
        </w:rPr>
        <w:t xml:space="preserve">(Tone: Firm but nurturing. Deploy at 6-month intervals or whenever ZAX units report a greater-than-15% increase in 'voluntary-unplanned-self-expiration ideation' metrics among resident population.)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F" w:val="clear"/>
            <w:tcMar>
              <w:top w:type="dxa" w:w="160"/>
              <w:left w:type="dxa" w:w="240"/>
              <w:bottom w:type="dxa" w:w="160"/>
              <w:right w:type="dxa" w:w="240"/>
            </w:tcMar>
          </w:tcPr>
          <w:p>
            <w:pPr>
              <w:spacing w:after="100"/>
            </w:pPr>
            <w:r>
              <w:rPr>
                <w:rFonts w:ascii="Arial" w:cs="Arial" w:eastAsia="Arial" w:hAnsi="Arial"/>
                <w:b/>
                <w:bCs/>
                <w:color w:val="2E5090"/>
                <w:sz w:val="20"/>
                <w:szCs w:val="20"/>
              </w:rPr>
              <w:t xml:space="preserve">[RECORDED BROADCAST — APPROVED SCRIPT VT-RAD-2C]</w:t>
            </w:r>
          </w:p>
          <w:p>
            <w:pPr>
              <w:spacing w:after="100"/>
            </w:pPr>
            <w:r>
              <w:rPr>
                <w:rFonts w:ascii="Arial" w:cs="Arial" w:eastAsia="Arial" w:hAnsi="Arial"/>
                <w:i/>
                <w:iCs/>
                <w:sz w:val="21"/>
                <w:szCs w:val="21"/>
              </w:rPr>
              <w:t xml:space="preserve">"Hello, Vault champions! We're six months into our EXCITING NEW CHAPTER and boy, what a ride it's been! We've heard some of you are experiencing what the Vault-Tec Wellness Division classifies as a 'prolonged compliance enthusiasm deficit.' And we get it! Sealed metal corridors can feel a touch COZY after a while! But consider this: somewhere up there on the surface, a radroach is living its BEST LIFE in what used to be downtown Pittsburgh! And you've got a Vault! With WALLS! And a CAFETERIA! Our data shows that residents who participate enthusiastically in mandatory recreation and do not ask questions about the vault's original social experiment parameters are up to 12% happier! So put on a smile, fill out your G.O.A.T. re-evaluation form, and remember: Vault-Tec isn't just a shelter. It's a LIFESTYLE. A CHOICE. A FAMILY. (Participation in this family is non-negotiable per Sub-Clause 7 of your residency agreement.) Vault-Tec: We Care. We Really, Really Have To."</w:t>
            </w:r>
          </w:p>
        </w:tc>
      </w:tr>
    </w:tbl>
    <w:p>
      <w:pPr>
        <w:spacing w:before="80" w:after="80"/>
      </w:pPr>
      <w:r>
        <w:t xml:space="preserve"/>
      </w:r>
    </w:p>
    <w:p>
      <w:pPr>
        <w:pStyle w:val="Heading1"/>
        <w:spacing w:before="320" w:after="160"/>
      </w:pPr>
      <w:r>
        <w:rPr>
          <w:rFonts w:ascii="Arial" w:cs="Arial" w:eastAsia="Arial" w:hAnsi="Arial"/>
          <w:b/>
          <w:bCs/>
          <w:color w:val="1F3864"/>
          <w:sz w:val="28"/>
          <w:szCs w:val="28"/>
        </w:rPr>
        <w:t xml:space="preserve">SECTION III: PROHIBITED LANGUAGE &amp; APPROVED SUBSTITUTIONS</w:t>
      </w:r>
    </w:p>
    <w:p>
      <w:pPr>
        <w:spacing w:before="80" w:after="120"/>
      </w:pPr>
      <w:r>
        <w:rPr>
          <w:rFonts w:ascii="Arial" w:cs="Arial" w:eastAsia="Arial" w:hAnsi="Arial"/>
          <w:sz w:val="22"/>
          <w:szCs w:val="22"/>
        </w:rPr>
        <w:t xml:space="preserve">All Vault-Tec communications personnel — and any ZAX units assigned to broadcasting duties — are STRICTLY PROHIBITED from using the following terms in any external or resident-facing messaging. Violations are subject to involuntary reassignment to Vault Section G (the wet section).</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PROHIBITED TERM</w:t>
            </w:r>
          </w:p>
        </w:tc>
        <w:tc>
          <w:tcPr>
            <w:tcW w:type="dxa" w:w="57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APPROVED VAULT-TEC SUBSTITUTION</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Nuclear War</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"Global Atmospheric Restructuring Initiative"</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Death / Dead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"Unplanned Expiration" / "Former Participant Status"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Radiation Poisoning</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"Spontaneous Isotope Integration Syndrome (SIIS)"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Starvation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"Involuntary Caloric Restriction Period (ICRP)"</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Genocide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"Species-Level Asset Portfolio Reduction"</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Trapped</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"Enjoying Extended Premium Vault Hospitality"</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Panic</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"Unauthorized Enthusiasm Surplus"</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Government Failure</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"Legacy Administrative System Retirement"</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We Knew This Would Happen</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"Our industry-leading forecasts have been validated!"</w:t>
            </w:r>
          </w:p>
        </w:tc>
      </w:tr>
      <w:tr>
        <w:tc>
          <w:tcPr>
            <w:tcW w:type="dxa" w:w="36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20"/>
                <w:szCs w:val="20"/>
              </w:rPr>
              <w:t xml:space="preserve">We Caused This</w:t>
            </w:r>
          </w:p>
        </w:tc>
        <w:tc>
          <w:tcPr>
            <w:tcW w:type="dxa" w:w="57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20"/>
                <w:szCs w:val="20"/>
              </w:rPr>
              <w:t xml:space="preserve">[THIS COLUMN IS REDACTED PER LEGAL — FORM 88-C REQUIRED]</w:t>
            </w:r>
          </w:p>
        </w:tc>
      </w:tr>
    </w:tbl>
    <w:p>
      <w:pPr>
        <w:spacing w:before="80" w:after="80"/>
      </w:pPr>
      <w:r>
        <w:t xml:space="preserve"/>
      </w:r>
    </w:p>
    <w:p>
      <w:pPr>
        <w:pStyle w:val="Heading1"/>
        <w:spacing w:before="320" w:after="160"/>
      </w:pPr>
      <w:r>
        <w:rPr>
          <w:rFonts w:ascii="Arial" w:cs="Arial" w:eastAsia="Arial" w:hAnsi="Arial"/>
          <w:b/>
          <w:bCs/>
          <w:color w:val="1F3864"/>
          <w:sz w:val="28"/>
          <w:szCs w:val="28"/>
        </w:rPr>
        <w:t xml:space="preserve">SECTION IV: SOCIAL MEDIA &amp; HOLOTAPE STRATEGY</w:t>
      </w:r>
    </w:p>
    <w:p>
      <w:pPr>
        <w:spacing w:before="80" w:after="120"/>
      </w:pPr>
      <w:r>
        <w:rPr>
          <w:rFonts w:ascii="Arial" w:cs="Arial" w:eastAsia="Arial" w:hAnsi="Arial"/>
          <w:sz w:val="22"/>
          <w:szCs w:val="22"/>
        </w:rPr>
        <w:t xml:space="preserve">While the global telecommunications infrastructure has been temporarily "reorganized," Vault-Tec's forward-thinking marketing team has pre-prepared a comprehensive holotape content calendar covering the first 50 post-event years. Key campaigns include:</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Year 1 — '#VaultLife' Holotape Campaign: Curated, upbeat footage of residents enjoying rations, performing calisthenics, and not discussing mortality. ZAX units to flag and delete 'negative content' holotapes within 4 hours of creation.</w:t>
      </w:r>
    </w:p>
    <w:p>
      <w:pPr>
        <w:pStyle w:val="ListParagraph"/>
        <w:numPr>
          <w:ilvl w:val="0"/>
          <w:numId w:val="2"/>
        </w:numPr>
        <w:spacing w:before="60" w:after="60"/>
      </w:pPr>
      <w:r>
        <w:rPr>
          <w:rFonts w:ascii="Arial" w:cs="Arial" w:eastAsia="Arial" w:hAnsi="Arial"/>
          <w:sz w:val="22"/>
          <w:szCs w:val="22"/>
        </w:rPr>
        <w:t xml:space="preserve">Year 5 — 'Remember the Surface?' Nostalgia Campaign: Carefully edited pre-war imagery emphasizing traffic jams, tax forms, and difficult social interactions to remind residents how swell they have it now.</w:t>
      </w:r>
    </w:p>
    <w:p>
      <w:pPr>
        <w:pStyle w:val="ListParagraph"/>
        <w:numPr>
          <w:ilvl w:val="0"/>
          <w:numId w:val="2"/>
        </w:numPr>
        <w:spacing w:before="60" w:after="60"/>
      </w:pPr>
      <w:r>
        <w:rPr>
          <w:rFonts w:ascii="Arial" w:cs="Arial" w:eastAsia="Arial" w:hAnsi="Arial"/>
          <w:sz w:val="22"/>
          <w:szCs w:val="22"/>
        </w:rPr>
        <w:t xml:space="preserve">Year 10 — 'Vault-Born &amp; Vault-Proud' Generational Branding: For children born in-vault who have never known the surface. Target messaging: 'Outside isn't a place, it's a MYTH.' Emphasis on vault identity, brand loyalty from birth.</w:t>
      </w:r>
    </w:p>
    <w:p>
      <w:pPr>
        <w:pStyle w:val="ListParagraph"/>
        <w:numPr>
          <w:ilvl w:val="0"/>
          <w:numId w:val="2"/>
        </w:numPr>
        <w:spacing w:before="60" w:after="60"/>
      </w:pPr>
      <w:r>
        <w:rPr>
          <w:rFonts w:ascii="Arial" w:cs="Arial" w:eastAsia="Arial" w:hAnsi="Arial"/>
          <w:sz w:val="22"/>
          <w:szCs w:val="22"/>
        </w:rPr>
        <w:t xml:space="preserve">Year 25 — 'We Can't Wait to Open the Doors!' Campaign: Entirely speculative, aspirational messaging about eventual surface reclamation. Legal has advised this campaign carries 'zero binding commitment whatsoever.' File Form VT-MKT-MAYBE-25 to initiate.</w:t>
      </w:r>
    </w:p>
    <w:p>
      <w:pPr>
        <w:pStyle w:val="ListParagraph"/>
        <w:numPr>
          <w:ilvl w:val="0"/>
          <w:numId w:val="2"/>
        </w:numPr>
        <w:spacing w:before="60" w:after="60"/>
      </w:pPr>
      <w:r>
        <w:rPr>
          <w:rFonts w:ascii="Arial" w:cs="Arial" w:eastAsia="Arial" w:hAnsi="Arial"/>
          <w:sz w:val="22"/>
          <w:szCs w:val="22"/>
        </w:rPr>
        <w:t xml:space="preserve">Year 50+ — 'Legacy Resident Appreciation' Campaign: For any residents still alive and cognitively functional at this stage, Vault-Tec will provide a commemorative pin and a heartfelt recorded message from an actor portraying a Vault-Tec executive.</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SECTION V: COMPLIANCE, FORMS &amp; ADMINISTRATIVE REQUIREMENTS</w:t>
      </w:r>
    </w:p>
    <w:p>
      <w:pPr>
        <w:spacing w:before="80" w:after="120"/>
      </w:pPr>
      <w:r>
        <w:rPr>
          <w:rFonts w:ascii="Arial" w:cs="Arial" w:eastAsia="Arial" w:hAnsi="Arial"/>
          <w:sz w:val="22"/>
          <w:szCs w:val="22"/>
        </w:rPr>
        <w:t xml:space="preserve">Marketing personnel are reminded that even in the wake of civilization's complete and total annihilation, proper administrative procedure must be observed. The following forms are MANDATORY before any crisis communications may be broadcast: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160"/>
        <w:gridCol w:w="1800"/>
      </w:tblGrid>
      <w:tr>
        <w:tc>
          <w:tcPr>
            <w:tcW w:type="dxa" w:w="24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FORM</w:t>
            </w:r>
          </w:p>
        </w:tc>
        <w:tc>
          <w:tcPr>
            <w:tcW w:type="dxa" w:w="516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F3864" w:val="clear"/>
            <w:tcMar>
              <w:top w:type="dxa" w:w="100"/>
              <w:left w:type="dxa" w:w="160"/>
              <w:bottom w:type="dxa" w:w="100"/>
              <w:right w:type="dxa" w:w="160"/>
            </w:tcMar>
          </w:tcPr>
          <w:p>
            <w:r>
              <w:rPr>
                <w:rFonts w:ascii="Arial" w:cs="Arial" w:eastAsia="Arial" w:hAnsi="Arial"/>
                <w:b/>
                <w:bCs/>
                <w:color w:val="FFFFFF"/>
                <w:sz w:val="20"/>
                <w:szCs w:val="20"/>
              </w:rPr>
              <w:t xml:space="preserve">COPIES</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19"/>
                <w:szCs w:val="19"/>
              </w:rPr>
              <w:t xml:space="preserve">Form VT-PR-EOW-9</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Authorization to begin 'End of World' crisis broadcast sequence</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val="false"/>
                <w:bCs w:val="false"/>
                <w:color w:val="000000"/>
                <w:sz w:val="19"/>
                <w:szCs w:val="19"/>
              </w:rPr>
              <w:t xml:space="preserve">Triplicate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19"/>
                <w:szCs w:val="19"/>
              </w:rPr>
              <w:t xml:space="preserve">Form VT-MKT-ANN-1</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Declaration of annihilation event for departmental records</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val="false"/>
                <w:bCs w:val="false"/>
                <w:color w:val="000000"/>
                <w:sz w:val="19"/>
                <w:szCs w:val="19"/>
              </w:rPr>
              <w:t xml:space="preserve">Triplicate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19"/>
                <w:szCs w:val="19"/>
              </w:rPr>
              <w:t xml:space="preserve">Form VT-HR-EXP-74B</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Mass unplanned-expiration notification (surface population)</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val="false"/>
                <w:bCs w:val="false"/>
                <w:color w:val="000000"/>
                <w:sz w:val="19"/>
                <w:szCs w:val="19"/>
              </w:rPr>
              <w:t xml:space="preserve">Triplicate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19"/>
                <w:szCs w:val="19"/>
              </w:rPr>
              <w:t xml:space="preserve">Form VT-LEGAL-W6</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Liability waiver re: Vault-Tec's foreknowledge of global isotope integration event</w:t>
            </w:r>
          </w:p>
        </w:tc>
        <w:tc>
          <w:tcPr>
            <w:tcW w:type="dxa" w:w="1800"/>
            <w:tcBorders>
              <w:top w:val="single" w:color="CCCCCC" w:sz="1"/>
              <w:left w:val="single" w:color="CCCCCC" w:sz="1"/>
              <w:bottom w:val="single" w:color="CCCCCC" w:sz="1"/>
              <w:right w:val="single" w:color="CCCCCC" w:sz="1"/>
            </w:tcBorders>
            <w:shd w:fill="FFF0F0" w:val="clear"/>
            <w:tcMar>
              <w:top w:type="dxa" w:w="80"/>
              <w:left w:type="dxa" w:w="160"/>
              <w:bottom w:type="dxa" w:w="80"/>
              <w:right w:type="dxa" w:w="160"/>
            </w:tcMar>
          </w:tcPr>
          <w:p>
            <w:r>
              <w:rPr>
                <w:rFonts w:ascii="Arial" w:cs="Arial" w:eastAsia="Arial" w:hAnsi="Arial"/>
                <w:b/>
                <w:bCs/>
                <w:color w:val="B22222"/>
                <w:sz w:val="19"/>
                <w:szCs w:val="19"/>
              </w:rPr>
              <w:t xml:space="preserve">SIX COPIES — MANDATORY</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19"/>
                <w:szCs w:val="19"/>
              </w:rPr>
              <w:t xml:space="preserve">Form VT-ZAX-BCAST</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ZAX unit broadcast authorization &amp; content pre-approval</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val="false"/>
                <w:bCs w:val="false"/>
                <w:color w:val="000000"/>
                <w:sz w:val="19"/>
                <w:szCs w:val="19"/>
              </w:rPr>
              <w:t xml:space="preserve">Triplicate</w:t>
            </w:r>
          </w:p>
        </w:tc>
      </w:tr>
      <w:tr>
        <w:tc>
          <w:tcPr>
            <w:tcW w:type="dxa" w:w="240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b/>
                <w:bCs/>
                <w:sz w:val="19"/>
                <w:szCs w:val="19"/>
              </w:rPr>
              <w:t xml:space="preserve">Form VT-PR-TONE-OK</w:t>
            </w:r>
          </w:p>
        </w:tc>
        <w:tc>
          <w:tcPr>
            <w:tcW w:type="dxa" w:w="5160"/>
            <w:tcBorders>
              <w:top w:val="single" w:color="CCCCCC" w:sz="1"/>
              <w:left w:val="single" w:color="CCCCCC" w:sz="1"/>
              <w:bottom w:val="single" w:color="CCCCCC" w:sz="1"/>
              <w:right w:val="single" w:color="CCCCCC" w:sz="1"/>
            </w:tcBorders>
            <w:tcMar>
              <w:top w:type="dxa" w:w="80"/>
              <w:left w:type="dxa" w:w="160"/>
              <w:bottom w:type="dxa" w:w="80"/>
              <w:right w:type="dxa" w:w="160"/>
            </w:tcMar>
          </w:tcPr>
          <w:p>
            <w:r>
              <w:rPr>
                <w:rFonts w:ascii="Arial" w:cs="Arial" w:eastAsia="Arial" w:hAnsi="Arial"/>
                <w:sz w:val="19"/>
                <w:szCs w:val="19"/>
              </w:rPr>
              <w:t xml:space="preserve">Confirmation that all scripts have passed the 'Swell-o-Meter' tone calibration review</w:t>
            </w:r>
          </w:p>
        </w:tc>
        <w:tc>
          <w:tcPr>
            <w:tcW w:type="dxa" w:w="1800"/>
            <w:tcBorders>
              <w:top w:val="single" w:color="CCCCCC" w:sz="1"/>
              <w:left w:val="single" w:color="CCCCCC" w:sz="1"/>
              <w:bottom w:val="single" w:color="CCCCCC" w:sz="1"/>
              <w:right w:val="single" w:color="CCCCCC" w:sz="1"/>
            </w:tcBorders>
            <w:shd w:fill="F8F8F8" w:val="clear"/>
            <w:tcMar>
              <w:top w:type="dxa" w:w="80"/>
              <w:left w:type="dxa" w:w="160"/>
              <w:bottom w:type="dxa" w:w="80"/>
              <w:right w:type="dxa" w:w="160"/>
            </w:tcMar>
          </w:tcPr>
          <w:p>
            <w:r>
              <w:rPr>
                <w:rFonts w:ascii="Arial" w:cs="Arial" w:eastAsia="Arial" w:hAnsi="Arial"/>
                <w:b w:val="false"/>
                <w:bCs w:val="false"/>
                <w:color w:val="000000"/>
                <w:sz w:val="19"/>
                <w:szCs w:val="19"/>
              </w:rPr>
              <w:t xml:space="preserve">Triplicate</w:t>
            </w:r>
          </w:p>
        </w:tc>
      </w:tr>
    </w:tbl>
    <w:p>
      <w:pPr>
        <w:spacing w:before="80" w:after="80"/>
      </w:pPr>
      <w:r>
        <w:t xml:space="preserve"/>
      </w:r>
    </w:p>
    <w:p>
      <w:pPr>
        <w:spacing w:before="80" w:after="120"/>
      </w:pPr>
      <w:r>
        <w:rPr>
          <w:rFonts w:ascii="Arial" w:cs="Arial" w:eastAsia="Arial" w:hAnsi="Arial"/>
          <w:i/>
          <w:iCs/>
          <w:sz w:val="22"/>
          <w:szCs w:val="22"/>
        </w:rPr>
        <w:t xml:space="preserve">NOTE: In the event that the administrative office has itself been subject to unplanned expiration events, forms may be filed posthumously by the next available HR representative. If no HR representative is available, forms may be filed by any resident who is (a) literate, (b) showing fewer than three spontaneous isotope integration symptoms, and (c) possessed of a 'can-do' attitude.</w:t>
      </w:r>
    </w:p>
    <w:p>
      <w:pPr>
        <w:spacing w:before="80" w:after="80"/>
      </w:pPr>
      <w:r>
        <w:t xml:space="preserve"/>
      </w:r>
    </w:p>
    <w:p>
      <w:pPr>
        <w:pStyle w:val="Heading1"/>
        <w:spacing w:before="320" w:after="160"/>
      </w:pPr>
      <w:r>
        <w:rPr>
          <w:rFonts w:ascii="Arial" w:cs="Arial" w:eastAsia="Arial" w:hAnsi="Arial"/>
          <w:b/>
          <w:bCs/>
          <w:color w:val="1F3864"/>
          <w:sz w:val="28"/>
          <w:szCs w:val="28"/>
        </w:rPr>
        <w:t xml:space="preserve">SECTION VI: MESSAGING SIGN-OFF &amp; QUALITY ASSURANCE</w:t>
      </w:r>
    </w:p>
    <w:p>
      <w:pPr>
        <w:spacing w:before="80" w:after="120"/>
      </w:pPr>
      <w:r>
        <w:rPr>
          <w:rFonts w:ascii="Arial" w:cs="Arial" w:eastAsia="Arial" w:hAnsi="Arial"/>
          <w:sz w:val="22"/>
          <w:szCs w:val="22"/>
        </w:rPr>
        <w:t xml:space="preserve">All materials in this playbook have been reviewed and enthusiastically approved by:</w:t>
      </w:r>
    </w:p>
    <w:p>
      <w:pPr>
        <w:spacing w:before="80" w:after="80"/>
      </w:pPr>
      <w:r>
        <w:t xml:space="preserve"/>
      </w:r>
    </w:p>
    <w:p>
      <w:pPr>
        <w:pStyle w:val="ListParagraph"/>
        <w:numPr>
          <w:ilvl w:val="0"/>
          <w:numId w:val="2"/>
        </w:numPr>
        <w:spacing w:before="60" w:after="60"/>
      </w:pPr>
      <w:r>
        <w:rPr>
          <w:rFonts w:ascii="Arial" w:cs="Arial" w:eastAsia="Arial" w:hAnsi="Arial"/>
          <w:sz w:val="22"/>
          <w:szCs w:val="22"/>
        </w:rPr>
        <w:t xml:space="preserve">The Vault-Tec Department of Public Positivity (Pre-Dissolution Sign-off: confirmed!)</w:t>
      </w:r>
    </w:p>
    <w:p>
      <w:pPr>
        <w:pStyle w:val="ListParagraph"/>
        <w:numPr>
          <w:ilvl w:val="0"/>
          <w:numId w:val="2"/>
        </w:numPr>
        <w:spacing w:before="60" w:after="60"/>
      </w:pPr>
      <w:r>
        <w:rPr>
          <w:rFonts w:ascii="Arial" w:cs="Arial" w:eastAsia="Arial" w:hAnsi="Arial"/>
          <w:sz w:val="22"/>
          <w:szCs w:val="22"/>
        </w:rPr>
        <w:t xml:space="preserve">The Vault-Tec Office of Existential Risk Communications (Pre-Dissolution Sign-off: confirmed!)</w:t>
      </w:r>
    </w:p>
    <w:p>
      <w:pPr>
        <w:pStyle w:val="ListParagraph"/>
        <w:numPr>
          <w:ilvl w:val="0"/>
          <w:numId w:val="2"/>
        </w:numPr>
        <w:spacing w:before="60" w:after="60"/>
      </w:pPr>
      <w:r>
        <w:rPr>
          <w:rFonts w:ascii="Arial" w:cs="Arial" w:eastAsia="Arial" w:hAnsi="Arial"/>
          <w:sz w:val="22"/>
          <w:szCs w:val="22"/>
        </w:rPr>
        <w:t xml:space="preserve">The Vault-Tec Legal Team's Liability Pre-Clearance Sub-Division (Sign-off: PENDING — Note: the entire sub-division is currently classified as 'Former Participants.' Their silence is taken as enthusiastic approval.)</w:t>
      </w:r>
    </w:p>
    <w:p>
      <w:pPr>
        <w:pStyle w:val="ListParagraph"/>
        <w:numPr>
          <w:ilvl w:val="0"/>
          <w:numId w:val="2"/>
        </w:numPr>
        <w:spacing w:before="60" w:after="60"/>
      </w:pPr>
      <w:r>
        <w:rPr>
          <w:rFonts w:ascii="Arial" w:cs="Arial" w:eastAsia="Arial" w:hAnsi="Arial"/>
          <w:sz w:val="22"/>
          <w:szCs w:val="22"/>
        </w:rPr>
        <w:t xml:space="preserve">The Swell-o-Meter Automated Tone Review AI (ZAX-7): All scripts rated 9.8/10 for Cheerfulness. The 0.2-point deduction was for insufficient use of the word 'golly.'</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22222" w:sz="4"/>
              <w:left w:val="single" w:color="B22222" w:sz="4"/>
              <w:bottom w:val="single" w:color="B22222" w:sz="4"/>
              <w:right w:val="single" w:color="B22222" w:sz="4"/>
            </w:tcBorders>
            <w:shd w:fill="EEF4FF" w:val="clear"/>
            <w:tcMar>
              <w:top w:type="dxa" w:w="200"/>
              <w:left w:type="dxa" w:w="240"/>
              <w:bottom w:type="dxa" w:w="200"/>
              <w:right w:type="dxa" w:w="240"/>
            </w:tcMar>
          </w:tcPr>
          <w:p>
            <w:pPr>
              <w:spacing w:after="120"/>
              <w:jc w:val="center"/>
            </w:pPr>
            <w:r>
              <w:rPr>
                <w:rFonts w:ascii="Arial" w:cs="Arial" w:eastAsia="Arial" w:hAnsi="Arial"/>
                <w:b/>
                <w:bCs/>
                <w:caps/>
                <w:color w:val="1F3864"/>
                <w:sz w:val="28"/>
                <w:szCs w:val="28"/>
              </w:rPr>
              <w:t xml:space="preserve">VAULT-TEC CORPORATION</w:t>
            </w:r>
          </w:p>
          <w:p>
            <w:pPr>
              <w:spacing w:after="80"/>
              <w:jc w:val="center"/>
            </w:pPr>
            <w:r>
              <w:rPr>
                <w:rFonts w:ascii="Arial" w:cs="Arial" w:eastAsia="Arial" w:hAnsi="Arial"/>
                <w:i/>
                <w:iCs/>
                <w:color w:val="2E5090"/>
                <w:sz w:val="22"/>
                <w:szCs w:val="22"/>
              </w:rPr>
              <w:t xml:space="preserve">"We were always ready. Were you?"</w:t>
            </w:r>
          </w:p>
          <w:p>
            <w:pPr>
              <w:jc w:val="center"/>
            </w:pPr>
            <w:r>
              <w:rPr>
                <w:rFonts w:ascii="Arial" w:cs="Arial" w:eastAsia="Arial" w:hAnsi="Arial"/>
                <w:i/>
                <w:iCs/>
                <w:color w:val="888888"/>
                <w:sz w:val="16"/>
                <w:szCs w:val="16"/>
              </w:rPr>
              <w:t xml:space="preserve">This document is classified CONFIDENTIAL. Unauthorized disclosure to non-former-participants is prohibited under Vault-Tec Bylaw 404-C. Vault-Tec assumes no responsibility for any existential dread resulting from reading this document. Have a tip-top day!</w:t>
            </w:r>
          </w:p>
        </w:tc>
      </w:tr>
    </w:tbl>
    <w:p>
      <w:pPr>
        <w:spacing w:before="80" w:after="8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20"/>
    </w:pPr>
    <w:r>
      <w:rPr>
        <w:rFonts w:ascii="Arial" w:cs="Arial" w:eastAsia="Arial" w:hAnsi="Arial"/>
        <w:color w:val="888888"/>
        <w:sz w:val="16"/>
        <w:szCs w:val="16"/>
      </w:rPr>
      <w:t xml:space="preserve">Vault-Tec Corp. | Dept. of Public Positivity &amp; Isotope Integration Messaging | Form VT-PR-EOW-9 | Page </w:t>
    </w:r>
    <w:r>
      <w:rPr>
        <w:rFonts w:ascii="Arial" w:cs="Arial" w:eastAsia="Arial" w:hAnsi="Arial"/>
        <w:color w:val="888888"/>
        <w:sz w:val="16"/>
        <w:szCs w:val="16"/>
      </w:rPr>
      <w:fldSimple w:instr="PAG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22222" w:sz="6" w:space="1"/>
      </w:pBdr>
      <w:spacing w:after="200"/>
      <w:jc w:val="right"/>
    </w:pPr>
    <w:r>
      <w:rPr>
        <w:rFonts w:ascii="Arial" w:cs="Arial" w:eastAsia="Arial" w:hAnsi="Arial"/>
        <w:b/>
        <w:bCs/>
        <w:color w:val="B22222"/>
        <w:sz w:val="18"/>
        <w:szCs w:val="18"/>
      </w:rPr>
      <w:t xml:space="preserve">VAULT-TEC CORPORATION</w:t>
    </w:r>
    <w:r>
      <w:rPr>
        <w:rFonts w:ascii="Arial" w:cs="Arial" w:eastAsia="Arial" w:hAnsi="Arial"/>
        <w:color w:val="666666"/>
        <w:sz w:val="16"/>
        <w:szCs w:val="16"/>
      </w:rPr>
      <w:t xml:space="preserve">  |  CONFIDENTIAL: MARKETING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3864"/>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2026-02-23T15:13:07.379Z</dcterms:created>
  <dcterms:modified xsi:type="dcterms:W3CDTF">2026-02-23T15:13:07.380Z</dcterms:modified>
</cp:coreProperties>
</file>

<file path=docProps/custom.xml><?xml version="1.0" encoding="utf-8"?>
<Properties xmlns="http://schemas.openxmlformats.org/officeDocument/2006/custom-properties" xmlns:vt="http://schemas.openxmlformats.org/officeDocument/2006/docPropsVTypes"/>
</file>