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200" w:after="60"/>
        <w:jc w:val="center"/>
      </w:pPr>
      <w:r>
        <w:rPr>
          <w:rFonts w:ascii="Arial" w:cs="Arial" w:eastAsia="Arial" w:hAnsi="Arial"/>
          <w:b/>
          <w:bCs/>
          <w:color w:val="A50000"/>
          <w:sz w:val="36"/>
          <w:szCs w:val="36"/>
        </w:rPr>
        <w:t xml:space="preserve">VAULT-TEC CORPORATION</w:t>
      </w:r>
    </w:p>
    <w:p>
      <w:pPr>
        <w:spacing w:before="60" w:after="60"/>
        <w:jc w:val="center"/>
      </w:pPr>
      <w:r>
        <w:rPr>
          <w:rFonts w:ascii="Arial" w:cs="Arial" w:eastAsia="Arial" w:hAnsi="Arial"/>
          <w:b/>
          <w:bCs/>
          <w:color w:val="444444"/>
          <w:sz w:val="26"/>
          <w:szCs w:val="26"/>
        </w:rPr>
        <w:t xml:space="preserve">Human Resources Division</w:t>
      </w:r>
    </w:p>
    <w:p>
      <w:pPr>
        <w:spacing w:before="60" w:after="200"/>
        <w:jc w:val="center"/>
      </w:pPr>
      <w:r>
        <w:rPr>
          <w:rFonts w:ascii="Arial" w:cs="Arial" w:eastAsia="Arial" w:hAnsi="Arial"/>
          <w:i/>
          <w:iCs/>
          <w:color w:val="6C0000"/>
          <w:sz w:val="22"/>
          <w:szCs w:val="22"/>
        </w:rPr>
        <w:t xml:space="preserve">"A Happy Vault is a Productive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1"/>
              <w:left w:val="single" w:color="888888" w:sz="1"/>
              <w:bottom w:val="single" w:color="888888" w:sz="1"/>
              <w:right w:val="single" w:color="888888" w:sz="1"/>
            </w:tcBorders>
            <w:shd w:fill="6C000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716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b w:val="false"/>
                <w:bCs w:val="false"/>
                <w:sz w:val="20"/>
                <w:szCs w:val="20"/>
              </w:rPr>
              <w:t xml:space="preserve">Resident Reassignment &amp; Departmental Relocation Procedures (Non-Voluntary Track)</w:t>
            </w:r>
          </w:p>
        </w:tc>
      </w:tr>
      <w:tr>
        <w:tc>
          <w:tcPr>
            <w:tcW w:type="dxa" w:w="2200"/>
            <w:tcBorders>
              <w:top w:val="single" w:color="888888" w:sz="1"/>
              <w:left w:val="single" w:color="888888" w:sz="1"/>
              <w:bottom w:val="single" w:color="888888" w:sz="1"/>
              <w:right w:val="single" w:color="888888" w:sz="1"/>
            </w:tcBorders>
            <w:shd w:fill="6C000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2076</w:t>
            </w:r>
          </w:p>
        </w:tc>
      </w:tr>
      <w:tr>
        <w:tc>
          <w:tcPr>
            <w:tcW w:type="dxa" w:w="2200"/>
            <w:tcBorders>
              <w:top w:val="single" w:color="888888" w:sz="1"/>
              <w:left w:val="single" w:color="888888" w:sz="1"/>
              <w:bottom w:val="single" w:color="888888" w:sz="1"/>
              <w:right w:val="single" w:color="888888" w:sz="1"/>
            </w:tcBorders>
            <w:shd w:fill="6C0000"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716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b w:val="false"/>
                <w:bCs w:val="false"/>
                <w:sz w:val="20"/>
                <w:szCs w:val="20"/>
              </w:rPr>
              <w:t xml:space="preserve">Human Resources — Resident Relations Sub-Committee</w:t>
            </w:r>
          </w:p>
        </w:tc>
      </w:tr>
      <w:tr>
        <w:tc>
          <w:tcPr>
            <w:tcW w:type="dxa" w:w="2200"/>
            <w:tcBorders>
              <w:top w:val="single" w:color="888888" w:sz="1"/>
              <w:left w:val="single" w:color="888888" w:sz="1"/>
              <w:bottom w:val="single" w:color="888888" w:sz="1"/>
              <w:right w:val="single" w:color="888888" w:sz="1"/>
            </w:tcBorders>
            <w:shd w:fill="6C0000" w:val="clear"/>
            <w:tcMar>
              <w:top w:type="dxa" w:w="80"/>
              <w:left w:type="dxa" w:w="120"/>
              <w:bottom w:type="dxa" w:w="80"/>
              <w:right w:type="dxa" w:w="120"/>
            </w:tcMar>
          </w:tcPr>
          <w:p>
            <w:r>
              <w:rPr>
                <w:rFonts w:ascii="Arial" w:cs="Arial" w:eastAsia="Arial" w:hAnsi="Arial"/>
                <w:b/>
                <w:bCs/>
                <w:color w:val="FFFFFF"/>
                <w:sz w:val="20"/>
                <w:szCs w:val="20"/>
              </w:rPr>
              <w:t xml:space="preserve">Intended Format:</w:t>
            </w:r>
          </w:p>
        </w:tc>
        <w:tc>
          <w:tcPr>
            <w:tcW w:type="dxa" w:w="71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Word (.docx)</w:t>
            </w:r>
          </w:p>
        </w:tc>
      </w:tr>
      <w:tr>
        <w:tc>
          <w:tcPr>
            <w:tcW w:type="dxa" w:w="2200"/>
            <w:tcBorders>
              <w:top w:val="single" w:color="888888" w:sz="1"/>
              <w:left w:val="single" w:color="888888" w:sz="1"/>
              <w:bottom w:val="single" w:color="888888" w:sz="1"/>
              <w:right w:val="single" w:color="888888" w:sz="1"/>
            </w:tcBorders>
            <w:shd w:fill="6C0000"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716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b/>
                <w:bCs/>
                <w:sz w:val="20"/>
                <w:szCs w:val="20"/>
              </w:rPr>
              <w:t xml:space="preserve">INTERNAL — HR CLEARANCE LEVEL 3 AND ABOVE</w:t>
            </w:r>
          </w:p>
        </w:tc>
      </w:tr>
    </w:tbl>
    <w:p>
      <w:pPr>
        <w:spacing w:before="80" w:after="80"/>
      </w:pPr>
      <w:r>
        <w:t xml:space="preserve"/>
      </w:r>
    </w:p>
    <w:p>
      <w:pPr>
        <w:pStyle w:val="Heading1"/>
        <w:pBdr>
          <w:bottom w:val="single" w:color="A50000" w:sz="6" w:space="4"/>
        </w:pBdr>
        <w:spacing w:before="300" w:after="120"/>
      </w:pPr>
      <w:r>
        <w:rPr>
          <w:rFonts w:ascii="Arial" w:cs="Arial" w:eastAsia="Arial" w:hAnsi="Arial"/>
          <w:b/>
          <w:bCs/>
          <w:color w:val="A50000"/>
          <w:sz w:val="28"/>
          <w:szCs w:val="28"/>
        </w:rPr>
        <w:t xml:space="preserve">SECTION 1: PURPOSE &amp; SCOPE</w:t>
      </w:r>
    </w:p>
    <w:p>
      <w:pPr>
        <w:spacing w:before="80" w:after="100"/>
        <w:jc w:val="left"/>
      </w:pPr>
      <w:r>
        <w:rPr>
          <w:rFonts w:ascii="Arial" w:cs="Arial" w:eastAsia="Arial" w:hAnsi="Arial"/>
          <w:b w:val="false"/>
          <w:bCs w:val="false"/>
          <w:i w:val="false"/>
          <w:iCs w:val="false"/>
          <w:color w:val="000000"/>
          <w:sz w:val="22"/>
          <w:szCs w:val="22"/>
        </w:rPr>
        <w:t xml:space="preserve">Greetings, HR Associates! Boy, have we got a </w:t>
      </w:r>
      <w:r>
        <w:rPr>
          <w:rFonts w:ascii="Arial" w:cs="Arial" w:eastAsia="Arial" w:hAnsi="Arial"/>
          <w:b w:val="false"/>
          <w:bCs w:val="false"/>
          <w:i/>
          <w:iCs/>
          <w:color w:val="000000"/>
          <w:sz w:val="22"/>
          <w:szCs w:val="22"/>
        </w:rPr>
        <w:t xml:space="preserve">swell</w:t>
      </w:r>
      <w:r>
        <w:rPr>
          <w:rFonts w:ascii="Arial" w:cs="Arial" w:eastAsia="Arial" w:hAnsi="Arial"/>
          <w:b w:val="false"/>
          <w:bCs w:val="false"/>
          <w:i w:val="false"/>
          <w:iCs w:val="false"/>
          <w:color w:val="000000"/>
          <w:sz w:val="22"/>
          <w:szCs w:val="22"/>
        </w:rPr>
        <w:t xml:space="preserve"> set of procedures for you today!</w:t>
      </w:r>
    </w:p>
    <w:p>
      <w:pPr>
        <w:spacing w:before="80" w:after="100"/>
        <w:jc w:val="left"/>
      </w:pPr>
      <w:r>
        <w:rPr>
          <w:rFonts w:ascii="Arial" w:cs="Arial" w:eastAsia="Arial" w:hAnsi="Arial"/>
          <w:b w:val="false"/>
          <w:bCs w:val="false"/>
          <w:i w:val="false"/>
          <w:iCs w:val="false"/>
          <w:color w:val="000000"/>
          <w:sz w:val="22"/>
          <w:szCs w:val="22"/>
        </w:rPr>
        <w:t xml:space="preserve">As any seasoned Vault-Tec team player knows, a smoothly functioning residential habitat depends on the cheerful cooperation of </w:t>
      </w:r>
      <w:r>
        <w:rPr>
          <w:rFonts w:ascii="Arial" w:cs="Arial" w:eastAsia="Arial" w:hAnsi="Arial"/>
          <w:b/>
          <w:bCs/>
          <w:i w:val="false"/>
          <w:iCs w:val="false"/>
          <w:color w:val="000000"/>
          <w:sz w:val="22"/>
          <w:szCs w:val="22"/>
        </w:rPr>
        <w:t xml:space="preserve">all</w:t>
      </w:r>
      <w:r>
        <w:rPr>
          <w:rFonts w:ascii="Arial" w:cs="Arial" w:eastAsia="Arial" w:hAnsi="Arial"/>
          <w:b w:val="false"/>
          <w:bCs w:val="false"/>
          <w:i w:val="false"/>
          <w:iCs w:val="false"/>
          <w:color w:val="000000"/>
          <w:sz w:val="22"/>
          <w:szCs w:val="22"/>
        </w:rPr>
        <w:t xml:space="preserve"> resident participants. However, our industry-leading behavioral scientists at the Vault-Tec Institute of Applied Social Compliance (VTIASC) have identified a small but persistent subset of residents who display what we in the business call </w:t>
      </w:r>
      <w:r>
        <w:rPr>
          <w:rFonts w:ascii="Arial" w:cs="Arial" w:eastAsia="Arial" w:hAnsi="Arial"/>
          <w:b/>
          <w:bCs/>
          <w:i w:val="false"/>
          <w:iCs w:val="false"/>
          <w:color w:val="000000"/>
          <w:sz w:val="22"/>
          <w:szCs w:val="22"/>
        </w:rPr>
        <w:t xml:space="preserve">Sub-Optimal Cooperative Alignment (SOCA)</w:t>
      </w:r>
      <w:r>
        <w:rPr>
          <w:rFonts w:ascii="Arial" w:cs="Arial" w:eastAsia="Arial" w:hAnsi="Arial"/>
          <w:b w:val="false"/>
          <w:bCs w:val="false"/>
          <w:i w:val="false"/>
          <w:iCs w:val="false"/>
          <w:color w:val="000000"/>
          <w:sz w:val="22"/>
          <w:szCs w:val="22"/>
        </w:rPr>
        <w:t xml:space="preserve"> — and golly, left unaddressed, SOCA can spread faster than a spontaneous isotope integration event in Sector 7!</w:t>
      </w:r>
    </w:p>
    <w:p>
      <w:pPr>
        <w:spacing w:before="80" w:after="120"/>
        <w:jc w:val="left"/>
      </w:pPr>
      <w:r>
        <w:rPr>
          <w:rFonts w:ascii="Arial" w:cs="Arial" w:eastAsia="Arial" w:hAnsi="Arial"/>
          <w:b w:val="false"/>
          <w:bCs w:val="false"/>
          <w:i w:val="false"/>
          <w:iCs w:val="false"/>
          <w:color w:val="000000"/>
          <w:sz w:val="22"/>
          <w:szCs w:val="22"/>
        </w:rPr>
        <w:t xml:space="preserve">This document establishes the formal, standardized, and </w:t>
      </w:r>
      <w:r>
        <w:rPr>
          <w:rFonts w:ascii="Arial" w:cs="Arial" w:eastAsia="Arial" w:hAnsi="Arial"/>
          <w:b w:val="false"/>
          <w:bCs w:val="false"/>
          <w:i/>
          <w:iCs/>
          <w:color w:val="000000"/>
          <w:sz w:val="22"/>
          <w:szCs w:val="22"/>
        </w:rPr>
        <w:t xml:space="preserve">deeply legally sound</w:t>
      </w:r>
      <w:r>
        <w:rPr>
          <w:rFonts w:ascii="Arial" w:cs="Arial" w:eastAsia="Arial" w:hAnsi="Arial"/>
          <w:b w:val="false"/>
          <w:bCs w:val="false"/>
          <w:i w:val="false"/>
          <w:iCs w:val="false"/>
          <w:color w:val="000000"/>
          <w:sz w:val="22"/>
          <w:szCs w:val="22"/>
        </w:rPr>
        <w:t xml:space="preserve"> procedures for the </w:t>
      </w:r>
      <w:r>
        <w:rPr>
          <w:rFonts w:ascii="Arial" w:cs="Arial" w:eastAsia="Arial" w:hAnsi="Arial"/>
          <w:b/>
          <w:bCs/>
          <w:i w:val="false"/>
          <w:iCs w:val="false"/>
          <w:color w:val="000000"/>
          <w:sz w:val="22"/>
          <w:szCs w:val="22"/>
        </w:rPr>
        <w:t xml:space="preserve">Non-Voluntary Departmental Relocation (NVDR)</w:t>
      </w:r>
      <w:r>
        <w:rPr>
          <w:rFonts w:ascii="Arial" w:cs="Arial" w:eastAsia="Arial" w:hAnsi="Arial"/>
          <w:b w:val="false"/>
          <w:bCs w:val="false"/>
          <w:i w:val="false"/>
          <w:iCs w:val="false"/>
          <w:color w:val="000000"/>
          <w:sz w:val="22"/>
          <w:szCs w:val="22"/>
        </w:rPr>
        <w:t xml:space="preserve"> of any resident whose continued presence in the general population has been flagged as a net-negative contribution to our ongoing </w:t>
      </w:r>
      <w:r>
        <w:rPr>
          <w:rFonts w:ascii="Arial" w:cs="Arial" w:eastAsia="Arial" w:hAnsi="Arial"/>
          <w:b/>
          <w:bCs/>
          <w:i w:val="false"/>
          <w:iCs w:val="false"/>
          <w:color w:val="000000"/>
          <w:sz w:val="22"/>
          <w:szCs w:val="22"/>
        </w:rPr>
        <w:t xml:space="preserve">Vault Participant Data Acquisition Program (VPDAP).</w:t>
      </w:r>
    </w:p>
    <w:p>
      <w:pPr>
        <w:pBdr>
          <w:left w:val="single" w:color="A50000" w:sz="10" w:space="10"/>
        </w:pBdr>
        <w:spacing w:before="100" w:after="100"/>
        <w:ind w:left="720"/>
      </w:pPr>
      <w:r>
        <w:rPr>
          <w:rFonts w:ascii="Arial" w:cs="Arial" w:eastAsia="Arial" w:hAnsi="Arial"/>
          <w:i/>
          <w:iCs/>
          <w:color w:val="444444"/>
          <w:sz w:val="20"/>
          <w:szCs w:val="20"/>
        </w:rPr>
        <w:t xml:space="preserve">Rest assured: no resident is ever truly a problem. They are simply a misallocated asset awaiting reassignment to a more data-rich environment!</w:t>
      </w:r>
    </w:p>
    <w:p>
      <w:pPr>
        <w:spacing w:before="80" w:after="80"/>
      </w:pPr>
      <w:r>
        <w:t xml:space="preserve"/>
      </w:r>
    </w:p>
    <w:p>
      <w:pPr>
        <w:pStyle w:val="Heading1"/>
        <w:pBdr>
          <w:bottom w:val="single" w:color="A50000" w:sz="6" w:space="4"/>
        </w:pBdr>
        <w:spacing w:before="300" w:after="120"/>
      </w:pPr>
      <w:r>
        <w:rPr>
          <w:rFonts w:ascii="Arial" w:cs="Arial" w:eastAsia="Arial" w:hAnsi="Arial"/>
          <w:b/>
          <w:bCs/>
          <w:color w:val="A50000"/>
          <w:sz w:val="28"/>
          <w:szCs w:val="28"/>
        </w:rPr>
        <w:t xml:space="preserve">SECTION 2: DEFINITIONS</w:t>
      </w:r>
    </w:p>
    <w:p>
      <w:pPr>
        <w:spacing w:before="80" w:after="80"/>
        <w:jc w:val="left"/>
      </w:pPr>
      <w:r>
        <w:rPr>
          <w:rFonts w:ascii="Arial" w:cs="Arial" w:eastAsia="Arial" w:hAnsi="Arial"/>
          <w:b w:val="false"/>
          <w:bCs w:val="false"/>
          <w:i w:val="false"/>
          <w:iCs w:val="false"/>
          <w:color w:val="000000"/>
          <w:sz w:val="22"/>
          <w:szCs w:val="22"/>
        </w:rPr>
        <w:t xml:space="preserve">For the purposes of this procedure, the following terms shall apply:</w:t>
      </w:r>
    </w:p>
    <w:p>
      <w:pPr>
        <w:spacing w:before="80" w:after="80"/>
      </w:pPr>
      <w:r>
        <w:t xml:space="preserve"/>
      </w:r>
    </w:p>
    <w:p>
      <w:pPr>
        <w:spacing w:before="100" w:after="100"/>
        <w:jc w:val="left"/>
      </w:pPr>
      <w:r>
        <w:rPr>
          <w:rFonts w:ascii="Arial" w:cs="Arial" w:eastAsia="Arial" w:hAnsi="Arial"/>
          <w:b/>
          <w:bCs/>
          <w:i w:val="false"/>
          <w:iCs w:val="false"/>
          <w:color w:val="000000"/>
          <w:sz w:val="22"/>
          <w:szCs w:val="22"/>
        </w:rPr>
        <w:t xml:space="preserve">"Flagged Resident" — </w:t>
      </w:r>
      <w:r>
        <w:rPr>
          <w:rFonts w:ascii="Arial" w:cs="Arial" w:eastAsia="Arial" w:hAnsi="Arial"/>
          <w:b w:val="false"/>
          <w:bCs w:val="false"/>
          <w:i w:val="false"/>
          <w:iCs w:val="false"/>
          <w:color w:val="000000"/>
          <w:sz w:val="22"/>
          <w:szCs w:val="22"/>
        </w:rPr>
        <w:t xml:space="preserve">Any vault participant who has, on three (3) or more documented occasions, engaged in behaviors including but not limited to: questioning ration allocations, requesting access to Overseer-level documentation, expressing unsanctioned opinions about Vault-Tec's corporate mission, or otherwise demonstrating an </w:t>
      </w:r>
      <w:r>
        <w:rPr>
          <w:rFonts w:ascii="Arial" w:cs="Arial" w:eastAsia="Arial" w:hAnsi="Arial"/>
          <w:b w:val="false"/>
          <w:bCs w:val="false"/>
          <w:i/>
          <w:iCs/>
          <w:color w:val="000000"/>
          <w:sz w:val="22"/>
          <w:szCs w:val="22"/>
        </w:rPr>
        <w:t xml:space="preserve">unfortunate surplus of curiosity.</w:t>
      </w:r>
    </w:p>
    <w:p>
      <w:pPr>
        <w:spacing w:before="100" w:after="100"/>
        <w:jc w:val="left"/>
      </w:pPr>
      <w:r>
        <w:rPr>
          <w:rFonts w:ascii="Arial" w:cs="Arial" w:eastAsia="Arial" w:hAnsi="Arial"/>
          <w:b/>
          <w:bCs/>
          <w:i w:val="false"/>
          <w:iCs w:val="false"/>
          <w:color w:val="000000"/>
          <w:sz w:val="22"/>
          <w:szCs w:val="22"/>
        </w:rPr>
        <w:t xml:space="preserve">"Productive Reassignment" — </w:t>
      </w:r>
      <w:r>
        <w:rPr>
          <w:rFonts w:ascii="Arial" w:cs="Arial" w:eastAsia="Arial" w:hAnsi="Arial"/>
          <w:b w:val="false"/>
          <w:bCs w:val="false"/>
          <w:i w:val="false"/>
          <w:iCs w:val="false"/>
          <w:color w:val="000000"/>
          <w:sz w:val="22"/>
          <w:szCs w:val="22"/>
        </w:rPr>
        <w:t xml:space="preserve">The administrative transfer of a Flagged Resident to an Experimental Participation Zone (EPZ), also known internally as a </w:t>
      </w:r>
      <w:r>
        <w:rPr>
          <w:rFonts w:ascii="Arial" w:cs="Arial" w:eastAsia="Arial" w:hAnsi="Arial"/>
          <w:b w:val="false"/>
          <w:bCs w:val="false"/>
          <w:i/>
          <w:iCs/>
          <w:color w:val="000000"/>
          <w:sz w:val="22"/>
          <w:szCs w:val="22"/>
        </w:rPr>
        <w:t xml:space="preserve">"Special Contribution Sector"</w:t>
      </w:r>
      <w:r>
        <w:rPr>
          <w:rFonts w:ascii="Arial" w:cs="Arial" w:eastAsia="Arial" w:hAnsi="Arial"/>
          <w:b w:val="false"/>
          <w:bCs w:val="false"/>
          <w:i w:val="false"/>
          <w:iCs w:val="false"/>
          <w:color w:val="000000"/>
          <w:sz w:val="22"/>
          <w:szCs w:val="22"/>
        </w:rPr>
        <w:t xml:space="preserve"> or — if you want to keep things peppy — a </w:t>
      </w:r>
      <w:r>
        <w:rPr>
          <w:rFonts w:ascii="Arial" w:cs="Arial" w:eastAsia="Arial" w:hAnsi="Arial"/>
          <w:b/>
          <w:bCs/>
          <w:i w:val="false"/>
          <w:iCs w:val="false"/>
          <w:color w:val="1E5C1E"/>
          <w:sz w:val="22"/>
          <w:szCs w:val="22"/>
        </w:rPr>
        <w:t xml:space="preserve">"Fun Zone!"</w:t>
      </w:r>
      <w:r>
        <w:rPr>
          <w:rFonts w:ascii="Arial" w:cs="Arial" w:eastAsia="Arial" w:hAnsi="Arial"/>
          <w:b w:val="false"/>
          <w:bCs w:val="false"/>
          <w:i w:val="false"/>
          <w:iCs w:val="false"/>
          <w:color w:val="000000"/>
          <w:sz w:val="22"/>
          <w:szCs w:val="22"/>
        </w:rPr>
        <w:t xml:space="preserve"> Residents transferred to a Fun Zone will not be informed of their new research context. This is both a legal and a </w:t>
      </w:r>
      <w:r>
        <w:rPr>
          <w:rFonts w:ascii="Arial" w:cs="Arial" w:eastAsia="Arial" w:hAnsi="Arial"/>
          <w:b w:val="false"/>
          <w:bCs w:val="false"/>
          <w:i/>
          <w:iCs/>
          <w:color w:val="000000"/>
          <w:sz w:val="22"/>
          <w:szCs w:val="22"/>
        </w:rPr>
        <w:t xml:space="preserve">morale</w:t>
      </w:r>
      <w:r>
        <w:rPr>
          <w:rFonts w:ascii="Arial" w:cs="Arial" w:eastAsia="Arial" w:hAnsi="Arial"/>
          <w:b w:val="false"/>
          <w:bCs w:val="false"/>
          <w:i w:val="false"/>
          <w:iCs w:val="false"/>
          <w:color w:val="000000"/>
          <w:sz w:val="22"/>
          <w:szCs w:val="22"/>
        </w:rPr>
        <w:t xml:space="preserve"> decision. You're welcome!</w:t>
      </w:r>
    </w:p>
    <w:p>
      <w:pPr>
        <w:spacing w:before="100" w:after="100"/>
        <w:jc w:val="left"/>
      </w:pPr>
      <w:r>
        <w:rPr>
          <w:rFonts w:ascii="Arial" w:cs="Arial" w:eastAsia="Arial" w:hAnsi="Arial"/>
          <w:b/>
          <w:bCs/>
          <w:i w:val="false"/>
          <w:iCs w:val="false"/>
          <w:color w:val="000000"/>
          <w:sz w:val="22"/>
          <w:szCs w:val="22"/>
        </w:rPr>
        <w:t xml:space="preserve">"Quiet Paperwork" — </w:t>
      </w:r>
      <w:r>
        <w:rPr>
          <w:rFonts w:ascii="Arial" w:cs="Arial" w:eastAsia="Arial" w:hAnsi="Arial"/>
          <w:b w:val="false"/>
          <w:bCs w:val="false"/>
          <w:i w:val="false"/>
          <w:iCs w:val="false"/>
          <w:color w:val="000000"/>
          <w:sz w:val="22"/>
          <w:szCs w:val="22"/>
        </w:rPr>
        <w:t xml:space="preserve">The suite of HR documentation that accompanies an NVDR action. All Quiet Paperwork is classified, sealed, and filed in the Sub-Overseer Lockbox (Form 22-QP). Any HR associate found discussing the contents of Quiet Paperwork with a non-cleared colleague will themselves be subject to an NVDR review. </w:t>
      </w:r>
      <w:r>
        <w:rPr>
          <w:rFonts w:ascii="Arial" w:cs="Arial" w:eastAsia="Arial" w:hAnsi="Arial"/>
          <w:b w:val="false"/>
          <w:bCs w:val="false"/>
          <w:i/>
          <w:iCs/>
          <w:color w:val="000000"/>
          <w:sz w:val="22"/>
          <w:szCs w:val="22"/>
        </w:rPr>
        <w:t xml:space="preserve">Isn't that a pip?</w:t>
      </w:r>
    </w:p>
    <w:p>
      <w:pPr>
        <w:spacing w:before="100" w:after="100"/>
        <w:jc w:val="left"/>
      </w:pPr>
      <w:r>
        <w:rPr>
          <w:rFonts w:ascii="Arial" w:cs="Arial" w:eastAsia="Arial" w:hAnsi="Arial"/>
          <w:b/>
          <w:bCs/>
          <w:i w:val="false"/>
          <w:iCs w:val="false"/>
          <w:color w:val="000000"/>
          <w:sz w:val="22"/>
          <w:szCs w:val="22"/>
        </w:rPr>
        <w:t xml:space="preserve">"Unplanned Expiration" — </w:t>
      </w:r>
      <w:r>
        <w:rPr>
          <w:rFonts w:ascii="Arial" w:cs="Arial" w:eastAsia="Arial" w:hAnsi="Arial"/>
          <w:b w:val="false"/>
          <w:bCs w:val="false"/>
          <w:i w:val="false"/>
          <w:iCs w:val="false"/>
          <w:color w:val="000000"/>
          <w:sz w:val="22"/>
          <w:szCs w:val="22"/>
        </w:rPr>
        <w:t xml:space="preserve">A potential but entirely acceptable downstream outcome of a resident's reassignment to certain high-yield Fun Zones. Vault-Tec does not consider Unplanned Expiration a </w:t>
      </w:r>
      <w:r>
        <w:rPr>
          <w:rFonts w:ascii="Arial" w:cs="Arial" w:eastAsia="Arial" w:hAnsi="Arial"/>
          <w:b w:val="false"/>
          <w:bCs w:val="false"/>
          <w:i/>
          <w:iCs/>
          <w:color w:val="000000"/>
          <w:sz w:val="22"/>
          <w:szCs w:val="22"/>
        </w:rPr>
        <w:t xml:space="preserve">negative outcome</w:t>
      </w:r>
      <w:r>
        <w:rPr>
          <w:rFonts w:ascii="Arial" w:cs="Arial" w:eastAsia="Arial" w:hAnsi="Arial"/>
          <w:b w:val="false"/>
          <w:bCs w:val="false"/>
          <w:i w:val="false"/>
          <w:iCs w:val="false"/>
          <w:color w:val="000000"/>
          <w:sz w:val="22"/>
          <w:szCs w:val="22"/>
        </w:rPr>
        <w:t xml:space="preserve"> per se, as it typically coincides with an excellent data acquisition event. Please log all Unplanned Expirations using </w:t>
      </w:r>
      <w:r>
        <w:rPr>
          <w:rFonts w:ascii="Arial" w:cs="Arial" w:eastAsia="Arial" w:hAnsi="Arial"/>
          <w:b/>
          <w:bCs/>
          <w:i w:val="false"/>
          <w:iCs w:val="false"/>
          <w:color w:val="000000"/>
          <w:sz w:val="22"/>
          <w:szCs w:val="22"/>
        </w:rPr>
        <w:t xml:space="preserve">Form 74-B (Mass Casualty Disposal — Single Participant Edition)</w:t>
      </w:r>
      <w:r>
        <w:rPr>
          <w:rFonts w:ascii="Arial" w:cs="Arial" w:eastAsia="Arial" w:hAnsi="Arial"/>
          <w:b w:val="false"/>
          <w:bCs w:val="false"/>
          <w:i w:val="false"/>
          <w:iCs w:val="false"/>
          <w:color w:val="000000"/>
          <w:sz w:val="22"/>
          <w:szCs w:val="22"/>
        </w:rPr>
        <w:t xml:space="preserve">, filed in triplicate within 48 business hours.</w:t>
      </w:r>
    </w:p>
    <w:p>
      <w:pPr>
        <w:spacing w:before="80" w:after="80"/>
      </w:pPr>
      <w:r>
        <w:t xml:space="preserve"/>
      </w:r>
    </w:p>
    <w:p>
      <w:pPr>
        <w:pStyle w:val="Heading1"/>
        <w:pBdr>
          <w:bottom w:val="single" w:color="A50000" w:sz="6" w:space="4"/>
        </w:pBdr>
        <w:spacing w:before="300" w:after="120"/>
      </w:pPr>
      <w:r>
        <w:rPr>
          <w:rFonts w:ascii="Arial" w:cs="Arial" w:eastAsia="Arial" w:hAnsi="Arial"/>
          <w:b/>
          <w:bCs/>
          <w:color w:val="A50000"/>
          <w:sz w:val="28"/>
          <w:szCs w:val="28"/>
        </w:rPr>
        <w:t xml:space="preserve">SECTION 3: THE FIVE-STEP NVDR PROCESS</w:t>
      </w:r>
    </w:p>
    <w:p>
      <w:pPr>
        <w:spacing w:before="80" w:after="160"/>
        <w:jc w:val="left"/>
      </w:pPr>
      <w:r>
        <w:rPr>
          <w:rFonts w:ascii="Arial" w:cs="Arial" w:eastAsia="Arial" w:hAnsi="Arial"/>
          <w:b w:val="false"/>
          <w:bCs w:val="false"/>
          <w:i w:val="false"/>
          <w:iCs w:val="false"/>
          <w:color w:val="000000"/>
          <w:sz w:val="22"/>
          <w:szCs w:val="22"/>
        </w:rPr>
        <w:t xml:space="preserve">We've made it as easy as pie! Simply follow these five tip-top steps and you'll have that misallocated asset contributing meaningfully to science in no time!</w:t>
      </w:r>
    </w:p>
    <w:p>
      <w:pPr>
        <w:spacing w:before="200" w:after="80"/>
      </w:pPr>
      <w:r>
        <w:rPr>
          <w:rFonts w:ascii="Arial" w:cs="Arial" w:eastAsia="Arial" w:hAnsi="Arial"/>
          <w:b/>
          <w:bCs/>
          <w:color w:val="1E5C1E"/>
          <w:sz w:val="22"/>
          <w:szCs w:val="22"/>
        </w:rPr>
        <w:t xml:space="preserve">✅ STEP ONE: Flag Initiation</w:t>
      </w:r>
    </w:p>
    <w:p>
      <w:pPr>
        <w:spacing w:before="80" w:after="100"/>
        <w:jc w:val="left"/>
      </w:pPr>
      <w:r>
        <w:rPr>
          <w:rFonts w:ascii="Arial" w:cs="Arial" w:eastAsia="Arial" w:hAnsi="Arial"/>
          <w:b w:val="false"/>
          <w:bCs w:val="false"/>
          <w:i w:val="false"/>
          <w:iCs w:val="false"/>
          <w:color w:val="000000"/>
          <w:sz w:val="22"/>
          <w:szCs w:val="22"/>
        </w:rPr>
        <w:t xml:space="preserve">Any resident may be nominated for NVDR review by their Section Supervisor, a fellow resident acting as a </w:t>
      </w:r>
      <w:r>
        <w:rPr>
          <w:rFonts w:ascii="Arial" w:cs="Arial" w:eastAsia="Arial" w:hAnsi="Arial"/>
          <w:b/>
          <w:bCs/>
          <w:i w:val="false"/>
          <w:iCs w:val="false"/>
          <w:color w:val="000000"/>
          <w:sz w:val="22"/>
          <w:szCs w:val="22"/>
        </w:rPr>
        <w:t xml:space="preserve">Vault-Tec Community Wellness Informant (VTCWI)</w:t>
      </w:r>
      <w:r>
        <w:rPr>
          <w:rFonts w:ascii="Arial" w:cs="Arial" w:eastAsia="Arial" w:hAnsi="Arial"/>
          <w:b w:val="false"/>
          <w:bCs w:val="false"/>
          <w:i w:val="false"/>
          <w:iCs w:val="false"/>
          <w:color w:val="000000"/>
          <w:sz w:val="22"/>
          <w:szCs w:val="22"/>
        </w:rPr>
        <w:t xml:space="preserve">, or by the ZAX behavioral monitoring system via automated flagging protocol.</w:t>
      </w:r>
    </w:p>
    <w:p>
      <w:pPr>
        <w:spacing w:before="80" w:after="100"/>
        <w:jc w:val="left"/>
      </w:pPr>
      <w:r>
        <w:rPr>
          <w:rFonts w:ascii="Arial" w:cs="Arial" w:eastAsia="Arial" w:hAnsi="Arial"/>
          <w:b w:val="false"/>
          <w:bCs w:val="false"/>
          <w:i w:val="false"/>
          <w:iCs w:val="false"/>
          <w:color w:val="000000"/>
          <w:sz w:val="22"/>
          <w:szCs w:val="22"/>
        </w:rPr>
        <w:t xml:space="preserve">HR personnel must complete </w:t>
      </w:r>
      <w:r>
        <w:rPr>
          <w:rFonts w:ascii="Arial" w:cs="Arial" w:eastAsia="Arial" w:hAnsi="Arial"/>
          <w:b/>
          <w:bCs/>
          <w:i w:val="false"/>
          <w:iCs w:val="false"/>
          <w:color w:val="000000"/>
          <w:sz w:val="22"/>
          <w:szCs w:val="22"/>
        </w:rPr>
        <w:t xml:space="preserve">Form 12-A (Resident Behavioral Deviation — Standard)</w:t>
      </w:r>
      <w:r>
        <w:rPr>
          <w:rFonts w:ascii="Arial" w:cs="Arial" w:eastAsia="Arial" w:hAnsi="Arial"/>
          <w:b w:val="false"/>
          <w:bCs w:val="false"/>
          <w:i w:val="false"/>
          <w:iCs w:val="false"/>
          <w:color w:val="000000"/>
          <w:sz w:val="22"/>
          <w:szCs w:val="22"/>
        </w:rPr>
        <w:t xml:space="preserve"> or, for more </w:t>
      </w:r>
      <w:r>
        <w:rPr>
          <w:rFonts w:ascii="Arial" w:cs="Arial" w:eastAsia="Arial" w:hAnsi="Arial"/>
          <w:b w:val="false"/>
          <w:bCs w:val="false"/>
          <w:i/>
          <w:iCs/>
          <w:color w:val="000000"/>
          <w:sz w:val="22"/>
          <w:szCs w:val="22"/>
        </w:rPr>
        <w:t xml:space="preserve">spirited</w:t>
      </w:r>
      <w:r>
        <w:rPr>
          <w:rFonts w:ascii="Arial" w:cs="Arial" w:eastAsia="Arial" w:hAnsi="Arial"/>
          <w:b w:val="false"/>
          <w:bCs w:val="false"/>
          <w:i w:val="false"/>
          <w:iCs w:val="false"/>
          <w:color w:val="000000"/>
          <w:sz w:val="22"/>
          <w:szCs w:val="22"/>
        </w:rPr>
        <w:t xml:space="preserve"> cases, </w:t>
      </w:r>
      <w:r>
        <w:rPr>
          <w:rFonts w:ascii="Arial" w:cs="Arial" w:eastAsia="Arial" w:hAnsi="Arial"/>
          <w:b/>
          <w:bCs/>
          <w:i w:val="false"/>
          <w:iCs w:val="false"/>
          <w:color w:val="000000"/>
          <w:sz w:val="22"/>
          <w:szCs w:val="22"/>
        </w:rPr>
        <w:t xml:space="preserve">Form 12-A(ii) (Resident Behavioral Deviation — Enthusiastic).</w:t>
      </w:r>
      <w:r>
        <w:rPr>
          <w:rFonts w:ascii="Arial" w:cs="Arial" w:eastAsia="Arial" w:hAnsi="Arial"/>
          <w:b w:val="false"/>
          <w:bCs w:val="false"/>
          <w:i w:val="false"/>
          <w:iCs w:val="false"/>
          <w:color w:val="000000"/>
          <w:sz w:val="22"/>
          <w:szCs w:val="22"/>
        </w:rPr>
        <w:t xml:space="preserve"> Both forms are available at the HR kiosk in the South Corridor. The kiosk is staffed Tuesday through Thursday. Please do not slide forms under the door on other days. Marjorie is </w:t>
      </w:r>
      <w:r>
        <w:rPr>
          <w:rFonts w:ascii="Arial" w:cs="Arial" w:eastAsia="Arial" w:hAnsi="Arial"/>
          <w:b w:val="false"/>
          <w:bCs w:val="false"/>
          <w:i/>
          <w:iCs/>
          <w:color w:val="000000"/>
          <w:sz w:val="22"/>
          <w:szCs w:val="22"/>
        </w:rPr>
        <w:t xml:space="preserve">done</w:t>
      </w:r>
      <w:r>
        <w:rPr>
          <w:rFonts w:ascii="Arial" w:cs="Arial" w:eastAsia="Arial" w:hAnsi="Arial"/>
          <w:b w:val="false"/>
          <w:bCs w:val="false"/>
          <w:i w:val="false"/>
          <w:iCs w:val="false"/>
          <w:color w:val="000000"/>
          <w:sz w:val="22"/>
          <w:szCs w:val="22"/>
        </w:rPr>
        <w:t xml:space="preserve"> with that.</w:t>
      </w:r>
    </w:p>
    <w:p>
      <w:pPr>
        <w:pBdr>
          <w:left w:val="single" w:color="A50000" w:sz="10" w:space="10"/>
        </w:pBdr>
        <w:spacing w:before="100" w:after="100"/>
        <w:ind w:left="720"/>
      </w:pPr>
      <w:r>
        <w:rPr>
          <w:rFonts w:ascii="Arial" w:cs="Arial" w:eastAsia="Arial" w:hAnsi="Arial"/>
          <w:i/>
          <w:iCs/>
          <w:color w:val="444444"/>
          <w:sz w:val="20"/>
          <w:szCs w:val="20"/>
        </w:rPr>
        <w:t xml:space="preserve">Important Note: Flagging a resident does NOT require evidence of wrongdoing. Vault-Tec operates on a precautionary contribution model — we simply ask: "Could this person's biology or psychology be better utilized elsewhere?" If the answer is even a maybe, that's a "yes!"</w:t>
      </w:r>
    </w:p>
    <w:p>
      <w:pPr>
        <w:spacing w:before="80" w:after="80"/>
      </w:pPr>
      <w:r>
        <w:t xml:space="preserve"/>
      </w:r>
    </w:p>
    <w:p>
      <w:pPr>
        <w:spacing w:before="200" w:after="80"/>
      </w:pPr>
      <w:r>
        <w:rPr>
          <w:rFonts w:ascii="Arial" w:cs="Arial" w:eastAsia="Arial" w:hAnsi="Arial"/>
          <w:b/>
          <w:bCs/>
          <w:color w:val="1E5C1E"/>
          <w:sz w:val="22"/>
          <w:szCs w:val="22"/>
        </w:rPr>
        <w:t xml:space="preserve">✅ STEP TWO: The "Wellness Check-In" Interview</w:t>
      </w:r>
    </w:p>
    <w:p>
      <w:pPr>
        <w:spacing w:before="80" w:after="100"/>
        <w:jc w:val="left"/>
      </w:pPr>
      <w:r>
        <w:rPr>
          <w:rFonts w:ascii="Arial" w:cs="Arial" w:eastAsia="Arial" w:hAnsi="Arial"/>
          <w:b w:val="false"/>
          <w:bCs w:val="false"/>
          <w:i w:val="false"/>
          <w:iCs w:val="false"/>
          <w:color w:val="000000"/>
          <w:sz w:val="22"/>
          <w:szCs w:val="22"/>
        </w:rPr>
        <w:t xml:space="preserve">Once flagged, the resident will be invited — with great warmth and a personalized note from HR — to attend a </w:t>
      </w:r>
      <w:r>
        <w:rPr>
          <w:rFonts w:ascii="Arial" w:cs="Arial" w:eastAsia="Arial" w:hAnsi="Arial"/>
          <w:b/>
          <w:bCs/>
          <w:i w:val="false"/>
          <w:iCs w:val="false"/>
          <w:color w:val="000000"/>
          <w:sz w:val="22"/>
          <w:szCs w:val="22"/>
        </w:rPr>
        <w:t xml:space="preserve">Voluntary Wellness Check-In (WCI).</w:t>
      </w:r>
      <w:r>
        <w:rPr>
          <w:rFonts w:ascii="Arial" w:cs="Arial" w:eastAsia="Arial" w:hAnsi="Arial"/>
          <w:b w:val="false"/>
          <w:bCs w:val="false"/>
          <w:i w:val="false"/>
          <w:iCs w:val="false"/>
          <w:color w:val="000000"/>
          <w:sz w:val="22"/>
          <w:szCs w:val="22"/>
        </w:rPr>
        <w:t xml:space="preserve"> Please note: the WCI is </w:t>
      </w:r>
      <w:r>
        <w:rPr>
          <w:rFonts w:ascii="Arial" w:cs="Arial" w:eastAsia="Arial" w:hAnsi="Arial"/>
          <w:b/>
          <w:bCs/>
          <w:i/>
          <w:iCs/>
          <w:color w:val="000000"/>
          <w:sz w:val="22"/>
          <w:szCs w:val="22"/>
        </w:rPr>
        <w:t xml:space="preserve">not</w:t>
      </w:r>
      <w:r>
        <w:rPr>
          <w:rFonts w:ascii="Arial" w:cs="Arial" w:eastAsia="Arial" w:hAnsi="Arial"/>
          <w:b w:val="false"/>
          <w:bCs w:val="false"/>
          <w:i w:val="false"/>
          <w:iCs w:val="false"/>
          <w:color w:val="000000"/>
          <w:sz w:val="22"/>
          <w:szCs w:val="22"/>
        </w:rPr>
        <w:t xml:space="preserve"> voluntary. The word "voluntary" is used purely for </w:t>
      </w:r>
      <w:r>
        <w:rPr>
          <w:rFonts w:ascii="Arial" w:cs="Arial" w:eastAsia="Arial" w:hAnsi="Arial"/>
          <w:b w:val="false"/>
          <w:bCs w:val="false"/>
          <w:i/>
          <w:iCs/>
          <w:color w:val="000000"/>
          <w:sz w:val="22"/>
          <w:szCs w:val="22"/>
        </w:rPr>
        <w:t xml:space="preserve">tonal purposes</w:t>
      </w:r>
      <w:r>
        <w:rPr>
          <w:rFonts w:ascii="Arial" w:cs="Arial" w:eastAsia="Arial" w:hAnsi="Arial"/>
          <w:b w:val="false"/>
          <w:bCs w:val="false"/>
          <w:i w:val="false"/>
          <w:iCs w:val="false"/>
          <w:color w:val="000000"/>
          <w:sz w:val="22"/>
          <w:szCs w:val="22"/>
        </w:rPr>
        <w:t xml:space="preserve"> and has no legal standing. Residents who decline their WCI invitation will be scheduled for a second, less-conversational WCI automatically.</w:t>
      </w:r>
    </w:p>
    <w:p>
      <w:pPr>
        <w:spacing w:before="80" w:after="80"/>
        <w:jc w:val="left"/>
      </w:pPr>
      <w:r>
        <w:rPr>
          <w:rFonts w:ascii="Arial" w:cs="Arial" w:eastAsia="Arial" w:hAnsi="Arial"/>
          <w:b w:val="false"/>
          <w:bCs w:val="false"/>
          <w:i w:val="false"/>
          <w:iCs w:val="false"/>
          <w:color w:val="000000"/>
          <w:sz w:val="22"/>
          <w:szCs w:val="22"/>
        </w:rPr>
        <w:t xml:space="preserve">During the WCI, HR personnel should:</w:t>
      </w:r>
    </w:p>
    <w:p>
      <w:pPr>
        <w:pStyle w:val="ListParagraph"/>
        <w:numPr>
          <w:ilvl w:val="0"/>
          <w:numId w:val="2"/>
        </w:numPr>
        <w:spacing w:before="60" w:after="60"/>
      </w:pPr>
      <w:r>
        <w:rPr>
          <w:rFonts w:ascii="Arial" w:cs="Arial" w:eastAsia="Arial" w:hAnsi="Arial"/>
          <w:sz w:val="22"/>
          <w:szCs w:val="22"/>
        </w:rPr>
        <w:t xml:space="preserve">Smile broadly and maintain sustained eye contact. This communicates trust!</w:t>
      </w:r>
    </w:p>
    <w:p>
      <w:pPr>
        <w:pStyle w:val="ListParagraph"/>
        <w:numPr>
          <w:ilvl w:val="0"/>
          <w:numId w:val="2"/>
        </w:numPr>
        <w:spacing w:before="60" w:after="60"/>
      </w:pPr>
      <w:r>
        <w:rPr>
          <w:rFonts w:ascii="Arial" w:cs="Arial" w:eastAsia="Arial" w:hAnsi="Arial"/>
          <w:sz w:val="22"/>
          <w:szCs w:val="22"/>
        </w:rPr>
        <w:t xml:space="preserve">Offer the resident a celebratory juice ration. (Note: Juice may or may not be augmented per ongoing nutritional research studies. HR associates are not cleared to know which batches are augmented. This is fine. Everything is fine.)</w:t>
      </w:r>
    </w:p>
    <w:p>
      <w:pPr>
        <w:pStyle w:val="ListParagraph"/>
        <w:numPr>
          <w:ilvl w:val="0"/>
          <w:numId w:val="2"/>
        </w:numPr>
        <w:spacing w:before="60" w:after="60"/>
      </w:pPr>
      <w:r>
        <w:rPr>
          <w:rFonts w:ascii="Arial" w:cs="Arial" w:eastAsia="Arial" w:hAnsi="Arial"/>
          <w:sz w:val="22"/>
          <w:szCs w:val="22"/>
        </w:rPr>
        <w:t xml:space="preserve">Complete the SOCA Severity Matrix (Form 15-M) in real time, assigning the resident a score of 1-5. Scores of 3 and above trigger automatic escalation to Step Three.</w:t>
      </w:r>
    </w:p>
    <w:p>
      <w:pPr>
        <w:pStyle w:val="ListParagraph"/>
        <w:numPr>
          <w:ilvl w:val="0"/>
          <w:numId w:val="2"/>
        </w:numPr>
        <w:spacing w:before="60" w:after="60"/>
      </w:pPr>
      <w:r>
        <w:rPr>
          <w:rFonts w:ascii="Arial" w:cs="Arial" w:eastAsia="Arial" w:hAnsi="Arial"/>
          <w:sz w:val="22"/>
          <w:szCs w:val="22"/>
        </w:rPr>
        <w:t xml:space="preserve">Do NOT inform the resident of their SOCA score, the existence of the SOCA Severity Matrix, or the acronym "NVDR." If the resident asks what "NVDR" stands for — it stands for "New Vault Dining Rotation." This has been pre-approved by Legal.</w:t>
      </w:r>
    </w:p>
    <w:p>
      <w:pPr>
        <w:spacing w:before="80" w:after="80"/>
      </w:pPr>
      <w:r>
        <w:t xml:space="preserve"/>
      </w:r>
    </w:p>
    <w:p>
      <w:pPr>
        <w:spacing w:before="200" w:after="80"/>
      </w:pPr>
      <w:r>
        <w:rPr>
          <w:rFonts w:ascii="Arial" w:cs="Arial" w:eastAsia="Arial" w:hAnsi="Arial"/>
          <w:b/>
          <w:bCs/>
          <w:color w:val="1E5C1E"/>
          <w:sz w:val="22"/>
          <w:szCs w:val="22"/>
        </w:rPr>
        <w:t xml:space="preserve">✅ STEP THREE: Sector Assignment Review</w:t>
      </w:r>
    </w:p>
    <w:p>
      <w:pPr>
        <w:spacing w:before="80" w:after="100"/>
        <w:jc w:val="left"/>
      </w:pPr>
      <w:r>
        <w:rPr>
          <w:rFonts w:ascii="Arial" w:cs="Arial" w:eastAsia="Arial" w:hAnsi="Arial"/>
          <w:b w:val="false"/>
          <w:bCs w:val="false"/>
          <w:i w:val="false"/>
          <w:iCs w:val="false"/>
          <w:color w:val="000000"/>
          <w:sz w:val="22"/>
          <w:szCs w:val="22"/>
        </w:rPr>
        <w:t xml:space="preserve">Based on the resident's SOCA score, skills profile, and the </w:t>
      </w:r>
      <w:r>
        <w:rPr>
          <w:rFonts w:ascii="Arial" w:cs="Arial" w:eastAsia="Arial" w:hAnsi="Arial"/>
          <w:b w:val="false"/>
          <w:bCs w:val="false"/>
          <w:i/>
          <w:iCs/>
          <w:color w:val="000000"/>
          <w:sz w:val="22"/>
          <w:szCs w:val="22"/>
        </w:rPr>
        <w:t xml:space="preserve">current data acquisition needs</w:t>
      </w:r>
      <w:r>
        <w:rPr>
          <w:rFonts w:ascii="Arial" w:cs="Arial" w:eastAsia="Arial" w:hAnsi="Arial"/>
          <w:b w:val="false"/>
          <w:bCs w:val="false"/>
          <w:i w:val="false"/>
          <w:iCs w:val="false"/>
          <w:color w:val="000000"/>
          <w:sz w:val="22"/>
          <w:szCs w:val="22"/>
        </w:rPr>
        <w:t xml:space="preserve"> of our various Special Contribution Sectors, the Sub-Overseer will consult the </w:t>
      </w:r>
      <w:r>
        <w:rPr>
          <w:rFonts w:ascii="Arial" w:cs="Arial" w:eastAsia="Arial" w:hAnsi="Arial"/>
          <w:b/>
          <w:bCs/>
          <w:i w:val="false"/>
          <w:iCs w:val="false"/>
          <w:color w:val="000000"/>
          <w:sz w:val="22"/>
          <w:szCs w:val="22"/>
        </w:rPr>
        <w:t xml:space="preserve">Fun Zone Availability Dashboard</w:t>
      </w:r>
      <w:r>
        <w:rPr>
          <w:rFonts w:ascii="Arial" w:cs="Arial" w:eastAsia="Arial" w:hAnsi="Arial"/>
          <w:b w:val="false"/>
          <w:bCs w:val="false"/>
          <w:i w:val="false"/>
          <w:iCs w:val="false"/>
          <w:color w:val="000000"/>
          <w:sz w:val="22"/>
          <w:szCs w:val="22"/>
        </w:rPr>
        <w:t xml:space="preserve"> (ZAX Terminal, Admin Access only) to identify the most </w:t>
      </w:r>
      <w:r>
        <w:rPr>
          <w:rFonts w:ascii="Arial" w:cs="Arial" w:eastAsia="Arial" w:hAnsi="Arial"/>
          <w:b w:val="false"/>
          <w:bCs w:val="false"/>
          <w:i/>
          <w:iCs/>
          <w:color w:val="000000"/>
          <w:sz w:val="22"/>
          <w:szCs w:val="22"/>
        </w:rPr>
        <w:t xml:space="preserve">productive</w:t>
      </w:r>
      <w:r>
        <w:rPr>
          <w:rFonts w:ascii="Arial" w:cs="Arial" w:eastAsia="Arial" w:hAnsi="Arial"/>
          <w:b w:val="false"/>
          <w:bCs w:val="false"/>
          <w:i w:val="false"/>
          <w:iCs w:val="false"/>
          <w:color w:val="000000"/>
          <w:sz w:val="22"/>
          <w:szCs w:val="22"/>
        </w:rPr>
        <w:t xml:space="preserve"> placement.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1800"/>
        <w:gridCol w:w="1560"/>
      </w:tblGrid>
      <w:tr>
        <w:trPr>
          <w:tblHeader/>
        </w:trPr>
        <w:tc>
          <w:tcPr>
            <w:tcW w:type="dxa" w:w="1400"/>
            <w:tcBorders>
              <w:top w:val="single" w:color="A50000" w:sz="1"/>
              <w:left w:val="single" w:color="A50000" w:sz="1"/>
              <w:bottom w:val="single" w:color="A50000" w:sz="1"/>
              <w:right w:val="single" w:color="A50000" w:sz="1"/>
            </w:tcBorders>
            <w:shd w:fill="6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 Code</w:t>
            </w:r>
          </w:p>
        </w:tc>
        <w:tc>
          <w:tcPr>
            <w:tcW w:type="dxa" w:w="1800"/>
            <w:tcBorders>
              <w:top w:val="single" w:color="A50000" w:sz="1"/>
              <w:left w:val="single" w:color="A50000" w:sz="1"/>
              <w:bottom w:val="single" w:color="A50000" w:sz="1"/>
              <w:right w:val="single" w:color="A50000" w:sz="1"/>
            </w:tcBorders>
            <w:shd w:fill="6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Colloquial Name</w:t>
            </w:r>
          </w:p>
        </w:tc>
        <w:tc>
          <w:tcPr>
            <w:tcW w:type="dxa" w:w="2800"/>
            <w:tcBorders>
              <w:top w:val="single" w:color="A50000" w:sz="1"/>
              <w:left w:val="single" w:color="A50000" w:sz="1"/>
              <w:bottom w:val="single" w:color="A50000" w:sz="1"/>
              <w:right w:val="single" w:color="A50000" w:sz="1"/>
            </w:tcBorders>
            <w:shd w:fill="6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Research Focus</w:t>
            </w:r>
          </w:p>
        </w:tc>
        <w:tc>
          <w:tcPr>
            <w:tcW w:type="dxa" w:w="3360"/>
            <w:tcBorders>
              <w:top w:val="single" w:color="A50000" w:sz="1"/>
              <w:left w:val="single" w:color="A50000" w:sz="1"/>
              <w:bottom w:val="single" w:color="A50000" w:sz="1"/>
              <w:right w:val="single" w:color="A50000" w:sz="1"/>
            </w:tcBorders>
            <w:shd w:fill="6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Participant Tenure</w:t>
            </w:r>
          </w:p>
        </w:tc>
      </w:tr>
      <w:tr>
        <w:tc>
          <w:tcPr>
            <w:tcW w:type="dxa" w:w="14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EPZ-1</w:t>
            </w:r>
          </w:p>
        </w:tc>
        <w:tc>
          <w:tcPr>
            <w:tcW w:type="dxa" w:w="18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"The Garden"</w:t>
            </w:r>
          </w:p>
        </w:tc>
        <w:tc>
          <w:tcPr>
            <w:tcW w:type="dxa" w:w="28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Long-term isolation behavioral modeling</w:t>
            </w:r>
          </w:p>
        </w:tc>
        <w:tc>
          <w:tcPr>
            <w:tcW w:type="dxa" w:w="336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6-18 months</w:t>
            </w:r>
          </w:p>
        </w:tc>
      </w:tr>
      <w:tr>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EPZ-2</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"The Greenhouse"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Experimental nutritional substitution</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2-9 months</w:t>
            </w:r>
          </w:p>
        </w:tc>
      </w:tr>
      <w:tr>
        <w:tc>
          <w:tcPr>
            <w:tcW w:type="dxa" w:w="14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EPZ-3</w:t>
            </w:r>
          </w:p>
        </w:tc>
        <w:tc>
          <w:tcPr>
            <w:tcW w:type="dxa" w:w="18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"The Playroom"</w:t>
            </w:r>
          </w:p>
        </w:tc>
        <w:tc>
          <w:tcPr>
            <w:tcW w:type="dxa" w:w="28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Aggressive physiological re-alignment studies</w:t>
            </w:r>
          </w:p>
        </w:tc>
        <w:tc>
          <w:tcPr>
            <w:tcW w:type="dxa" w:w="336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1-6 weeks</w:t>
            </w:r>
          </w:p>
        </w:tc>
      </w:tr>
      <w:tr>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EPZ-4</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"The Break Room"</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[REDACTED — DR. CHEN'S PROJECT]</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14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EPZ-5</w:t>
            </w:r>
          </w:p>
        </w:tc>
        <w:tc>
          <w:tcPr>
            <w:tcW w:type="dxa" w:w="18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"The Patio"</w:t>
            </w:r>
          </w:p>
        </w:tc>
        <w:tc>
          <w:tcPr>
            <w:tcW w:type="dxa" w:w="280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Surface acclimation pre-trials</w:t>
            </w:r>
          </w:p>
        </w:tc>
        <w:tc>
          <w:tcPr>
            <w:tcW w:type="dxa" w:w="3360"/>
            <w:tcBorders>
              <w:top w:val="single" w:color="888888" w:sz="1"/>
              <w:left w:val="single" w:color="888888" w:sz="1"/>
              <w:bottom w:val="single" w:color="888888" w:sz="1"/>
              <w:right w:val="single" w:color="888888" w:sz="1"/>
            </w:tcBorders>
            <w:shd w:fill="F9F0F0" w:val="clear"/>
            <w:tcMar>
              <w:top w:type="dxa" w:w="80"/>
              <w:left w:type="dxa" w:w="120"/>
              <w:bottom w:type="dxa" w:w="80"/>
              <w:right w:type="dxa" w:w="120"/>
            </w:tcMar>
          </w:tcPr>
          <w:p>
            <w:r>
              <w:rPr>
                <w:rFonts w:ascii="Arial" w:cs="Arial" w:eastAsia="Arial" w:hAnsi="Arial"/>
                <w:sz w:val="20"/>
                <w:szCs w:val="20"/>
              </w:rPr>
              <w:t xml:space="preserve">Please see Form 74-B</w:t>
            </w:r>
          </w:p>
        </w:tc>
      </w:tr>
    </w:tbl>
    <w:p>
      <w:pPr>
        <w:spacing w:before="80" w:after="80"/>
      </w:pPr>
      <w:r>
        <w:t xml:space="preserve"/>
      </w:r>
    </w:p>
    <w:p>
      <w:pPr>
        <w:pBdr>
          <w:left w:val="single" w:color="A50000" w:sz="10" w:space="10"/>
        </w:pBdr>
        <w:spacing w:before="100" w:after="100"/>
        <w:ind w:left="720"/>
      </w:pPr>
      <w:r>
        <w:rPr>
          <w:rFonts w:ascii="Arial" w:cs="Arial" w:eastAsia="Arial" w:hAnsi="Arial"/>
          <w:i/>
          <w:iCs/>
          <w:color w:val="444444"/>
          <w:sz w:val="20"/>
          <w:szCs w:val="20"/>
        </w:rPr>
        <w:t xml:space="preserve">A Note on EPZ-5: Assignments to "The Patio" require co-signature from both the Overseer and the Vault-Tec Regional Science Director. Do not assign residents to EPZ-5 on Fridays, as the Science Director does not check his messages on weekends and the paperwork backlog has become, in the words of one colleague, "a whole thing."</w:t>
      </w:r>
    </w:p>
    <w:p>
      <w:pPr>
        <w:spacing w:before="80" w:after="80"/>
      </w:pPr>
      <w:r>
        <w:t xml:space="preserve"/>
      </w:r>
    </w:p>
    <w:p>
      <w:pPr>
        <w:spacing w:before="200" w:after="80"/>
      </w:pPr>
      <w:r>
        <w:rPr>
          <w:rFonts w:ascii="Arial" w:cs="Arial" w:eastAsia="Arial" w:hAnsi="Arial"/>
          <w:b/>
          <w:bCs/>
          <w:color w:val="1E5C1E"/>
          <w:sz w:val="22"/>
          <w:szCs w:val="22"/>
        </w:rPr>
        <w:t xml:space="preserve">✅ STEP FOUR: Relocation Logistics</w:t>
      </w:r>
    </w:p>
    <w:p>
      <w:pPr>
        <w:spacing w:before="80" w:after="100"/>
        <w:jc w:val="left"/>
      </w:pPr>
      <w:r>
        <w:rPr>
          <w:rFonts w:ascii="Arial" w:cs="Arial" w:eastAsia="Arial" w:hAnsi="Arial"/>
          <w:b w:val="false"/>
          <w:bCs w:val="false"/>
          <w:i w:val="false"/>
          <w:iCs w:val="false"/>
          <w:color w:val="000000"/>
          <w:sz w:val="22"/>
          <w:szCs w:val="22"/>
        </w:rPr>
        <w:t xml:space="preserve">Resident relocation will occur </w:t>
      </w:r>
      <w:r>
        <w:rPr>
          <w:rFonts w:ascii="Arial" w:cs="Arial" w:eastAsia="Arial" w:hAnsi="Arial"/>
          <w:b/>
          <w:bCs/>
          <w:i w:val="false"/>
          <w:iCs w:val="false"/>
          <w:color w:val="000000"/>
          <w:sz w:val="22"/>
          <w:szCs w:val="22"/>
        </w:rPr>
        <w:t xml:space="preserve">between the hours of 2:00 AM and 4:00 AM</w:t>
      </w:r>
      <w:r>
        <w:rPr>
          <w:rFonts w:ascii="Arial" w:cs="Arial" w:eastAsia="Arial" w:hAnsi="Arial"/>
          <w:b w:val="false"/>
          <w:bCs w:val="false"/>
          <w:i w:val="false"/>
          <w:iCs w:val="false"/>
          <w:color w:val="000000"/>
          <w:sz w:val="22"/>
          <w:szCs w:val="22"/>
        </w:rPr>
        <w:t xml:space="preserve"> to minimize community disruption and to avoid what our behavioral team charmingly refers to as </w:t>
      </w:r>
      <w:r>
        <w:rPr>
          <w:rFonts w:ascii="Arial" w:cs="Arial" w:eastAsia="Arial" w:hAnsi="Arial"/>
          <w:b w:val="false"/>
          <w:bCs w:val="false"/>
          <w:i/>
          <w:iCs/>
          <w:color w:val="000000"/>
          <w:sz w:val="22"/>
          <w:szCs w:val="22"/>
        </w:rPr>
        <w:t xml:space="preserve">"a scene."</w:t>
      </w:r>
    </w:p>
    <w:p>
      <w:pPr>
        <w:spacing w:before="80" w:after="100"/>
        <w:jc w:val="left"/>
      </w:pPr>
      <w:r>
        <w:rPr>
          <w:rFonts w:ascii="Arial" w:cs="Arial" w:eastAsia="Arial" w:hAnsi="Arial"/>
          <w:b w:val="false"/>
          <w:bCs w:val="false"/>
          <w:i w:val="false"/>
          <w:iCs w:val="false"/>
          <w:color w:val="000000"/>
          <w:sz w:val="22"/>
          <w:szCs w:val="22"/>
        </w:rPr>
        <w:t xml:space="preserve">Two (2) members of Vault Security (euphemistically titled </w:t>
      </w:r>
      <w:r>
        <w:rPr>
          <w:rFonts w:ascii="Arial" w:cs="Arial" w:eastAsia="Arial" w:hAnsi="Arial"/>
          <w:b/>
          <w:bCs/>
          <w:i w:val="false"/>
          <w:iCs w:val="false"/>
          <w:color w:val="000000"/>
          <w:sz w:val="22"/>
          <w:szCs w:val="22"/>
        </w:rPr>
        <w:t xml:space="preserve">"Residential Transition Facilitators"</w:t>
      </w:r>
      <w:r>
        <w:rPr>
          <w:rFonts w:ascii="Arial" w:cs="Arial" w:eastAsia="Arial" w:hAnsi="Arial"/>
          <w:b w:val="false"/>
          <w:bCs w:val="false"/>
          <w:i w:val="false"/>
          <w:iCs w:val="false"/>
          <w:color w:val="000000"/>
          <w:sz w:val="22"/>
          <w:szCs w:val="22"/>
        </w:rPr>
        <w:t xml:space="preserve"> on all public-facing documentation) will escort the resident to their new sector. The resident's bunk will be cleared, cleaned, and reassigned within the same 24-hour window.</w:t>
      </w:r>
    </w:p>
    <w:p>
      <w:pPr>
        <w:spacing w:before="80" w:after="80"/>
        <w:jc w:val="left"/>
      </w:pPr>
      <w:r>
        <w:rPr>
          <w:rFonts w:ascii="Arial" w:cs="Arial" w:eastAsia="Arial" w:hAnsi="Arial"/>
          <w:b w:val="false"/>
          <w:bCs w:val="false"/>
          <w:i w:val="false"/>
          <w:iCs w:val="false"/>
          <w:color w:val="000000"/>
          <w:sz w:val="22"/>
          <w:szCs w:val="22"/>
        </w:rPr>
        <w:t xml:space="preserve">Should fellow residents inquire about the absence of the relocated individual, approved responses include:</w:t>
      </w:r>
    </w:p>
    <w:p>
      <w:pPr>
        <w:pStyle w:val="ListParagraph"/>
        <w:numPr>
          <w:ilvl w:val="0"/>
          <w:numId w:val="2"/>
        </w:numPr>
        <w:spacing w:before="60" w:after="60"/>
      </w:pPr>
      <w:r>
        <w:rPr>
          <w:rFonts w:ascii="Arial" w:cs="Arial" w:eastAsia="Arial" w:hAnsi="Arial"/>
          <w:sz w:val="22"/>
          <w:szCs w:val="22"/>
        </w:rPr>
        <w:t xml:space="preserve">"Oh, they transferred to the Hydroponics Volunteer Program! Lucky duck!"</w:t>
      </w:r>
    </w:p>
    <w:p>
      <w:pPr>
        <w:pStyle w:val="ListParagraph"/>
        <w:numPr>
          <w:ilvl w:val="0"/>
          <w:numId w:val="2"/>
        </w:numPr>
        <w:spacing w:before="60" w:after="60"/>
      </w:pPr>
      <w:r>
        <w:rPr>
          <w:rFonts w:ascii="Arial" w:cs="Arial" w:eastAsia="Arial" w:hAnsi="Arial"/>
          <w:sz w:val="22"/>
          <w:szCs w:val="22"/>
        </w:rPr>
        <w:t xml:space="preserve">"I believe they requested a quiet bunk reassignment. Very private individual."</w:t>
      </w:r>
    </w:p>
    <w:p>
      <w:pPr>
        <w:pStyle w:val="ListParagraph"/>
        <w:numPr>
          <w:ilvl w:val="0"/>
          <w:numId w:val="2"/>
        </w:numPr>
        <w:spacing w:before="60" w:after="60"/>
      </w:pPr>
      <w:r>
        <w:rPr>
          <w:rFonts w:ascii="Arial" w:cs="Arial" w:eastAsia="Arial" w:hAnsi="Arial"/>
          <w:sz w:val="22"/>
          <w:szCs w:val="22"/>
        </w:rPr>
        <w:t xml:space="preserve">"Gosh, I'm not sure! Have you tried the new cafeteria menu? It's just swell this week!"</w:t>
      </w:r>
    </w:p>
    <w:p>
      <w:pPr>
        <w:spacing w:before="80" w:after="80"/>
      </w:pPr>
      <w:r>
        <w:t xml:space="preserve"/>
      </w:r>
    </w:p>
    <w:p>
      <w:pPr>
        <w:pBdr>
          <w:left w:val="single" w:color="A50000" w:sz="10" w:space="10"/>
        </w:pBdr>
        <w:spacing w:before="100" w:after="100"/>
        <w:ind w:left="720"/>
      </w:pPr>
      <w:r>
        <w:rPr>
          <w:rFonts w:ascii="Arial" w:cs="Arial" w:eastAsia="Arial" w:hAnsi="Arial"/>
          <w:i/>
          <w:iCs/>
          <w:color w:val="444444"/>
          <w:sz w:val="20"/>
          <w:szCs w:val="20"/>
        </w:rPr>
        <w:t xml:space="preserve">HR associates are reminded that all three responses have been legally vetted and may be deployed with confidence.</w:t>
      </w:r>
    </w:p>
    <w:p>
      <w:pPr>
        <w:spacing w:before="80" w:after="80"/>
      </w:pPr>
      <w:r>
        <w:t xml:space="preserve"/>
      </w:r>
    </w:p>
    <w:p>
      <w:pPr>
        <w:spacing w:before="200" w:after="80"/>
      </w:pPr>
      <w:r>
        <w:rPr>
          <w:rFonts w:ascii="Arial" w:cs="Arial" w:eastAsia="Arial" w:hAnsi="Arial"/>
          <w:b/>
          <w:bCs/>
          <w:color w:val="1E5C1E"/>
          <w:sz w:val="22"/>
          <w:szCs w:val="22"/>
        </w:rPr>
        <w:t xml:space="preserve">✅ STEP FIVE: Post-Relocation Documentation &amp; Data Harvesting</w:t>
      </w:r>
    </w:p>
    <w:p>
      <w:pPr>
        <w:spacing w:before="80" w:after="80"/>
        <w:jc w:val="left"/>
      </w:pPr>
      <w:r>
        <w:rPr>
          <w:rFonts w:ascii="Arial" w:cs="Arial" w:eastAsia="Arial" w:hAnsi="Arial"/>
          <w:b w:val="false"/>
          <w:bCs w:val="false"/>
          <w:i w:val="false"/>
          <w:iCs w:val="false"/>
          <w:color w:val="000000"/>
          <w:sz w:val="22"/>
          <w:szCs w:val="22"/>
        </w:rPr>
        <w:t xml:space="preserve">Following successful relocation, the assigned Fun Zone research team will assume all documentation responsibilities for the resident-turned-research-participant. HR's ongoing obligations are limited to:</w:t>
      </w:r>
    </w:p>
    <w:p>
      <w:pPr>
        <w:pStyle w:val="ListParagraph"/>
        <w:numPr>
          <w:ilvl w:val="0"/>
          <w:numId w:val="2"/>
        </w:numPr>
        <w:spacing w:before="60" w:after="60"/>
      </w:pPr>
      <w:r>
        <w:rPr>
          <w:rFonts w:ascii="Arial" w:cs="Arial" w:eastAsia="Arial" w:hAnsi="Arial"/>
          <w:sz w:val="22"/>
          <w:szCs w:val="22"/>
        </w:rPr>
        <w:t xml:space="preserve">Monthly status checks via the ZAX Participant Tracking Portal (Form 33-Z).</w:t>
      </w:r>
    </w:p>
    <w:p>
      <w:pPr>
        <w:pStyle w:val="ListParagraph"/>
        <w:numPr>
          <w:ilvl w:val="0"/>
          <w:numId w:val="2"/>
        </w:numPr>
        <w:spacing w:before="60" w:after="60"/>
      </w:pPr>
      <w:r>
        <w:rPr>
          <w:rFonts w:ascii="Arial" w:cs="Arial" w:eastAsia="Arial" w:hAnsi="Arial"/>
          <w:sz w:val="22"/>
          <w:szCs w:val="22"/>
        </w:rPr>
        <w:t xml:space="preserve">Filing Form 74-B upon any Unplanned Expiration events, as noted above.</w:t>
      </w:r>
    </w:p>
    <w:p>
      <w:pPr>
        <w:pStyle w:val="ListParagraph"/>
        <w:numPr>
          <w:ilvl w:val="0"/>
          <w:numId w:val="2"/>
        </w:numPr>
        <w:spacing w:before="60" w:after="60"/>
      </w:pPr>
      <w:r>
        <w:rPr>
          <w:rFonts w:ascii="Arial" w:cs="Arial" w:eastAsia="Arial" w:hAnsi="Arial"/>
          <w:sz w:val="22"/>
          <w:szCs w:val="22"/>
        </w:rPr>
        <w:t xml:space="preserve">Sending a personalized "We Miss You!" card to the resident's former bunkmates to foster community warmth and discourage further inquiry. (Cards are available from the Supply Closet. Please do not take more than two at a time. Gerald.)</w:t>
      </w:r>
    </w:p>
    <w:p>
      <w:pPr>
        <w:pStyle w:val="ListParagraph"/>
        <w:numPr>
          <w:ilvl w:val="0"/>
          <w:numId w:val="2"/>
        </w:numPr>
        <w:spacing w:before="60" w:after="60"/>
      </w:pPr>
      <w:r>
        <w:rPr>
          <w:rFonts w:ascii="Arial" w:cs="Arial" w:eastAsia="Arial" w:hAnsi="Arial"/>
          <w:sz w:val="22"/>
          <w:szCs w:val="22"/>
        </w:rPr>
        <w:t xml:space="preserve">Updating the Vault Population Ledger to reflect the resident's status change from "Active Participant" to "Special Contribution Participant (Non-Communicating)."</w:t>
      </w:r>
    </w:p>
    <w:p>
      <w:pPr>
        <w:spacing w:before="80" w:after="80"/>
      </w:pPr>
      <w:r>
        <w:t xml:space="preserve"/>
      </w:r>
    </w:p>
    <w:p>
      <w:pPr>
        <w:pStyle w:val="Heading1"/>
        <w:pBdr>
          <w:bottom w:val="single" w:color="A50000" w:sz="6" w:space="4"/>
        </w:pBdr>
        <w:spacing w:before="300" w:after="120"/>
      </w:pPr>
      <w:r>
        <w:rPr>
          <w:rFonts w:ascii="Arial" w:cs="Arial" w:eastAsia="Arial" w:hAnsi="Arial"/>
          <w:b/>
          <w:bCs/>
          <w:color w:val="A50000"/>
          <w:sz w:val="28"/>
          <w:szCs w:val="28"/>
        </w:rPr>
        <w:t xml:space="preserve">SECTION 4: ETHICAL COMPLIANCE</w:t>
      </w:r>
    </w:p>
    <w:p>
      <w:pPr>
        <w:spacing w:before="80" w:after="80"/>
        <w:jc w:val="left"/>
      </w:pPr>
      <w:r>
        <w:rPr>
          <w:rFonts w:ascii="Arial" w:cs="Arial" w:eastAsia="Arial" w:hAnsi="Arial"/>
          <w:b w:val="false"/>
          <w:bCs w:val="false"/>
          <w:i w:val="false"/>
          <w:iCs w:val="false"/>
          <w:color w:val="000000"/>
          <w:sz w:val="22"/>
          <w:szCs w:val="22"/>
        </w:rPr>
        <w:t xml:space="preserve">Vault-Tec Corporation is deeply committed to ethical research practices and the humane treatment of all vault residents, within the limits of what is scientifically useful and administratively convenient.</w:t>
      </w:r>
    </w:p>
    <w:p>
      <w:pPr>
        <w:spacing w:before="80" w:after="100"/>
        <w:jc w:val="left"/>
      </w:pPr>
      <w:r>
        <w:rPr>
          <w:rFonts w:ascii="Arial" w:cs="Arial" w:eastAsia="Arial" w:hAnsi="Arial"/>
          <w:b w:val="false"/>
          <w:bCs w:val="false"/>
          <w:i w:val="false"/>
          <w:iCs w:val="false"/>
          <w:color w:val="000000"/>
          <w:sz w:val="22"/>
          <w:szCs w:val="22"/>
        </w:rPr>
        <w:t xml:space="preserve">All NVDR actions are conducted in full compliance with the </w:t>
      </w:r>
      <w:r>
        <w:rPr>
          <w:rFonts w:ascii="Arial" w:cs="Arial" w:eastAsia="Arial" w:hAnsi="Arial"/>
          <w:b/>
          <w:bCs/>
          <w:i w:val="false"/>
          <w:iCs w:val="false"/>
          <w:color w:val="000000"/>
          <w:sz w:val="22"/>
          <w:szCs w:val="22"/>
        </w:rPr>
        <w:t xml:space="preserve">Vault-Tec Internal Research Ethics Board (VTIREB)</w:t>
      </w:r>
      <w:r>
        <w:rPr>
          <w:rFonts w:ascii="Arial" w:cs="Arial" w:eastAsia="Arial" w:hAnsi="Arial"/>
          <w:b w:val="false"/>
          <w:bCs w:val="false"/>
          <w:i w:val="false"/>
          <w:iCs w:val="false"/>
          <w:color w:val="000000"/>
          <w:sz w:val="22"/>
          <w:szCs w:val="22"/>
        </w:rPr>
        <w:t xml:space="preserve"> guidelines. Please note that the VTIREB is chaired by Dr. Robert Vault-Tec </w:t>
      </w:r>
      <w:r>
        <w:rPr>
          <w:rFonts w:ascii="Arial" w:cs="Arial" w:eastAsia="Arial" w:hAnsi="Arial"/>
          <w:b w:val="false"/>
          <w:bCs w:val="false"/>
          <w:i/>
          <w:iCs/>
          <w:color w:val="000000"/>
          <w:sz w:val="22"/>
          <w:szCs w:val="22"/>
        </w:rPr>
        <w:t xml:space="preserve">(yes, that's his legal name, he changed it, it was a whole celebration)</w:t>
      </w:r>
      <w:r>
        <w:rPr>
          <w:rFonts w:ascii="Arial" w:cs="Arial" w:eastAsia="Arial" w:hAnsi="Arial"/>
          <w:b w:val="false"/>
          <w:bCs w:val="false"/>
          <w:i w:val="false"/>
          <w:iCs w:val="false"/>
          <w:color w:val="000000"/>
          <w:sz w:val="22"/>
          <w:szCs w:val="22"/>
        </w:rPr>
        <w:t xml:space="preserve"> and meets </w:t>
      </w:r>
      <w:r>
        <w:rPr>
          <w:rFonts w:ascii="Arial" w:cs="Arial" w:eastAsia="Arial" w:hAnsi="Arial"/>
          <w:b/>
          <w:bCs/>
          <w:i w:val="false"/>
          <w:iCs w:val="false"/>
          <w:color w:val="000000"/>
          <w:sz w:val="22"/>
          <w:szCs w:val="22"/>
        </w:rPr>
        <w:t xml:space="preserve">quarterly</w:t>
      </w:r>
      <w:r>
        <w:rPr>
          <w:rFonts w:ascii="Arial" w:cs="Arial" w:eastAsia="Arial" w:hAnsi="Arial"/>
          <w:b w:val="false"/>
          <w:bCs w:val="false"/>
          <w:i w:val="false"/>
          <w:iCs w:val="false"/>
          <w:color w:val="000000"/>
          <w:sz w:val="22"/>
          <w:szCs w:val="22"/>
        </w:rPr>
        <w:t xml:space="preserve">, meaning that any NVDR actions undertaken between meetings are retroactively reviewed and almost always approved, because Dr. Vault-Tec is, in his own words, "a real team player."</w:t>
      </w:r>
    </w:p>
    <w:p>
      <w:pPr>
        <w:spacing w:before="80" w:after="100"/>
        <w:jc w:val="left"/>
      </w:pPr>
      <w:r>
        <w:rPr>
          <w:rFonts w:ascii="Arial" w:cs="Arial" w:eastAsia="Arial" w:hAnsi="Arial"/>
          <w:b w:val="false"/>
          <w:bCs w:val="false"/>
          <w:i w:val="false"/>
          <w:iCs w:val="false"/>
          <w:color w:val="000000"/>
          <w:sz w:val="22"/>
          <w:szCs w:val="22"/>
        </w:rPr>
        <w:t xml:space="preserve">Residents do not have the right to appeal an NVDR determination. We want to be </w:t>
      </w:r>
      <w:r>
        <w:rPr>
          <w:rFonts w:ascii="Arial" w:cs="Arial" w:eastAsia="Arial" w:hAnsi="Arial"/>
          <w:b w:val="false"/>
          <w:bCs w:val="false"/>
          <w:i/>
          <w:iCs/>
          <w:color w:val="000000"/>
          <w:sz w:val="22"/>
          <w:szCs w:val="22"/>
        </w:rPr>
        <w:t xml:space="preserve">upfront</w:t>
      </w:r>
      <w:r>
        <w:rPr>
          <w:rFonts w:ascii="Arial" w:cs="Arial" w:eastAsia="Arial" w:hAnsi="Arial"/>
          <w:b w:val="false"/>
          <w:bCs w:val="false"/>
          <w:i w:val="false"/>
          <w:iCs w:val="false"/>
          <w:color w:val="000000"/>
          <w:sz w:val="22"/>
          <w:szCs w:val="22"/>
        </w:rPr>
        <w:t xml:space="preserve"> about that! There is, technically, an appeals form — </w:t>
      </w:r>
      <w:r>
        <w:rPr>
          <w:rFonts w:ascii="Arial" w:cs="Arial" w:eastAsia="Arial" w:hAnsi="Arial"/>
          <w:b/>
          <w:bCs/>
          <w:i w:val="false"/>
          <w:iCs w:val="false"/>
          <w:color w:val="000000"/>
          <w:sz w:val="22"/>
          <w:szCs w:val="22"/>
        </w:rPr>
        <w:t xml:space="preserve">Form 99-AP (Resident Self-Advocacy — Recreational).</w:t>
      </w:r>
      <w:r>
        <w:rPr>
          <w:rFonts w:ascii="Arial" w:cs="Arial" w:eastAsia="Arial" w:hAnsi="Arial"/>
          <w:b w:val="false"/>
          <w:bCs w:val="false"/>
          <w:i w:val="false"/>
          <w:iCs w:val="false"/>
          <w:color w:val="000000"/>
          <w:sz w:val="22"/>
          <w:szCs w:val="22"/>
        </w:rPr>
        <w:t xml:space="preserve"> It goes into a box. The box is in EPZ-3. Do the math, sport!</w:t>
      </w:r>
    </w:p>
    <w:p>
      <w:pPr>
        <w:spacing w:before="80" w:after="80"/>
      </w:pPr>
      <w:r>
        <w:t xml:space="preserve"/>
      </w:r>
    </w:p>
    <w:p>
      <w:pPr>
        <w:pStyle w:val="Heading1"/>
        <w:pBdr>
          <w:bottom w:val="single" w:color="A50000" w:sz="6" w:space="4"/>
        </w:pBdr>
        <w:spacing w:before="300" w:after="120"/>
      </w:pPr>
      <w:r>
        <w:rPr>
          <w:rFonts w:ascii="Arial" w:cs="Arial" w:eastAsia="Arial" w:hAnsi="Arial"/>
          <w:b/>
          <w:bCs/>
          <w:color w:val="A50000"/>
          <w:sz w:val="28"/>
          <w:szCs w:val="28"/>
        </w:rPr>
        <w:t xml:space="preserve">SECTION 5: CLOSING REMARKS</w:t>
      </w:r>
    </w:p>
    <w:p>
      <w:pPr>
        <w:spacing w:before="80" w:after="80"/>
        <w:jc w:val="left"/>
      </w:pPr>
      <w:r>
        <w:rPr>
          <w:rFonts w:ascii="Arial" w:cs="Arial" w:eastAsia="Arial" w:hAnsi="Arial"/>
          <w:b w:val="false"/>
          <w:bCs w:val="false"/>
          <w:i w:val="false"/>
          <w:iCs w:val="false"/>
          <w:color w:val="000000"/>
          <w:sz w:val="22"/>
          <w:szCs w:val="22"/>
        </w:rPr>
        <w:t xml:space="preserve">We at Vault-Tec Human Resources genuinely believe that every single resident has something to contribute to our magnificent, industry-leading experiment in human civilization. Sometimes that contribution is a cheerful attitude and a decade of productive labor. And sometimes — and this is just science, folks — that contribution is a robust and statistically significant data set generated under highly controlled and deeply inadvisable conditions.</w:t>
      </w:r>
    </w:p>
    <w:p>
      <w:pPr>
        <w:spacing w:before="80" w:after="80"/>
        <w:jc w:val="left"/>
      </w:pPr>
      <w:r>
        <w:rPr>
          <w:rFonts w:ascii="Arial" w:cs="Arial" w:eastAsia="Arial" w:hAnsi="Arial"/>
          <w:b w:val="false"/>
          <w:bCs w:val="false"/>
          <w:i w:val="false"/>
          <w:iCs w:val="false"/>
          <w:color w:val="000000"/>
          <w:sz w:val="22"/>
          <w:szCs w:val="22"/>
        </w:rPr>
        <w:t xml:space="preserve">Either way, we are grateful. Vault-Tec is grateful. And deep down, in whatever part of them remains capable of gratitude, your reassigned residents are grateful too.</w:t>
      </w:r>
    </w:p>
    <w:p>
      <w:pPr>
        <w:spacing w:before="80" w:after="80"/>
      </w:pPr>
      <w:r>
        <w:t xml:space="preserve"/>
      </w:r>
    </w:p>
    <w:p>
      <w:pPr>
        <w:pBdr>
          <w:top w:val="double" w:color="A50000" w:sz="6" w:space="10"/>
          <w:bottom w:val="double" w:color="A50000" w:sz="6" w:space="10"/>
        </w:pBdr>
        <w:spacing w:before="300" w:after="300"/>
        <w:jc w:val="center"/>
      </w:pPr>
      <w:r>
        <w:rPr>
          <w:rFonts w:ascii="Arial" w:cs="Arial" w:eastAsia="Arial" w:hAnsi="Arial"/>
          <w:b/>
          <w:bCs/>
          <w:color w:val="A50000"/>
          <w:sz w:val="32"/>
          <w:szCs w:val="32"/>
        </w:rPr>
        <w:t xml:space="preserve">"Vault-Tec: Your Future is Our Business!™"</w:t>
      </w:r>
    </w:p>
    <w:p>
      <w:pPr>
        <w:spacing w:before="80" w:after="80"/>
      </w:pPr>
      <w:r>
        <w:t xml:space="preserve"/>
      </w:r>
    </w:p>
    <w:p>
      <w:pPr>
        <w:spacing w:before="80" w:after="80"/>
        <w:jc w:val="left"/>
      </w:pPr>
      <w:r>
        <w:rPr>
          <w:rFonts w:ascii="Arial" w:cs="Arial" w:eastAsia="Arial" w:hAnsi="Arial"/>
          <w:b w:val="false"/>
          <w:bCs w:val="false"/>
          <w:i/>
          <w:iCs/>
          <w:color w:val="666666"/>
          <w:sz w:val="18"/>
          <w:szCs w:val="18"/>
        </w:rPr>
        <w:t xml:space="preserve">This document is classified HR Internal — Level 3 Clearance Required. Unauthorized distribution is subject to disciplinary review and possible initiation of a secondary NVDR assessment of the distributing party. Have a wonderful day!</w:t>
      </w:r>
    </w:p>
    <w:p>
      <w:pPr>
        <w:spacing w:before="80" w:after="80"/>
        <w:jc w:val="left"/>
      </w:pPr>
      <w:r>
        <w:rPr>
          <w:rFonts w:ascii="Arial" w:cs="Arial" w:eastAsia="Arial" w:hAnsi="Arial"/>
          <w:b w:val="false"/>
          <w:bCs w:val="false"/>
          <w:i/>
          <w:iCs/>
          <w:color w:val="666666"/>
          <w:sz w:val="18"/>
          <w:szCs w:val="18"/>
        </w:rPr>
        <w:t xml:space="preserve">Form references: 12-A, 12-A(ii), 15-M, 22-QP, 33-Z, 74-B, 99-AP. All forms available at the HR South Corridor Kiosk, Tues-Thurs, 9 AM - 3 PM. Not before 9. Marjorie has asked.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0000" w:sz="4" w:space="4"/>
      </w:pBdr>
      <w:spacing w:before="80"/>
      <w:jc w:val="center"/>
    </w:pPr>
    <w:r>
      <w:rPr>
        <w:rFonts w:ascii="Arial" w:cs="Arial" w:eastAsia="Arial" w:hAnsi="Arial"/>
        <w:color w:val="666666"/>
        <w:sz w:val="16"/>
        <w:szCs w:val="16"/>
      </w:rPr>
      <w:t xml:space="preserve">"Vault-Tec: Your Future is Our Business!™"  |  Form Refs: 12-A, 12-A(ii), 15-M, 22-QP, 33-Z, 74-B, 99-AP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0000" w:sz="6" w:space="4"/>
      </w:pBdr>
      <w:spacing w:after="100"/>
      <w:jc w:val="center"/>
    </w:pPr>
    <w:r>
      <w:rPr>
        <w:rFonts w:ascii="Arial" w:cs="Arial" w:eastAsia="Arial" w:hAnsi="Arial"/>
        <w:b/>
        <w:bCs/>
        <w:color w:val="A50000"/>
        <w:sz w:val="18"/>
        <w:szCs w:val="18"/>
      </w:rPr>
      <w:t xml:space="preserve">VAULT-TEC CORPORATION</w:t>
    </w:r>
    <w:r>
      <w:rPr>
        <w:rFonts w:ascii="Arial" w:cs="Arial" w:eastAsia="Arial" w:hAnsi="Arial"/>
        <w:color w:val="666666"/>
        <w:sz w:val="16"/>
        <w:szCs w:val="16"/>
      </w:rPr>
      <w:t xml:space="preserve">  |  HUMAN RESOURCES DIVISION  |  INTERNAL USE ONLY — HR CLEARANCE LEVEL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A50000"/>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6C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2026-02-23T14:46:01.042Z</dcterms:created>
  <dcterms:modified xsi:type="dcterms:W3CDTF">2026-02-23T14:46:01.044Z</dcterms:modified>
</cp:coreProperties>
</file>

<file path=docProps/custom.xml><?xml version="1.0" encoding="utf-8"?>
<Properties xmlns="http://schemas.openxmlformats.org/officeDocument/2006/custom-properties" xmlns:vt="http://schemas.openxmlformats.org/officeDocument/2006/docPropsVTypes"/>
</file>