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28"/>
          <w:szCs w:val="28"/>
        </w:rPr>
        <w:t xml:space="preserve">VAULT-TEC CORPORATION</w:t>
      </w:r>
    </w:p>
    <w:p>
      <w:pPr>
        <w:spacing w:after="240"/>
        <w:jc w:val="center"/>
      </w:pPr>
      <w:r>
        <w:rPr>
          <w:rFonts w:ascii="Arial" w:cs="Arial" w:eastAsia="Arial" w:hAnsi="Arial"/>
          <w:i/>
          <w:iCs/>
          <w:color w:val="888888"/>
          <w:sz w:val="18"/>
          <w:szCs w:val="18"/>
        </w:rPr>
        <w:t xml:space="preserve">Internal Document — Property of Vault-Tec</w:t>
      </w:r>
    </w:p>
    <w:p>
      <w:pPr>
        <w:pBdr>
          <w:bottom w:val="single" w:color="C0392B" w:sz="6" w:space="1"/>
        </w:pBdr>
        <w:spacing w:after="200"/>
      </w:pPr>
    </w:p>
    <w:p>
      <w:pPr>
        <w:spacing w:after="60"/>
      </w:pPr>
      <w:r>
        <w:rPr>
          <w:rFonts w:ascii="Arial" w:cs="Arial" w:eastAsia="Arial" w:hAnsi="Arial"/>
          <w:b/>
          <w:bCs/>
          <w:sz w:val="22"/>
          <w:szCs w:val="22"/>
        </w:rPr>
        <w:t xml:space="preserve">Title: </w:t>
      </w:r>
      <w:r>
        <w:rPr>
          <w:rFonts w:ascii="Arial" w:cs="Arial" w:eastAsia="Arial" w:hAnsi="Arial"/>
          <w:sz w:val="22"/>
          <w:szCs w:val="22"/>
        </w:rPr>
        <w:t xml:space="preserve">Surface Exploration Policy (Archived)</w:t>
      </w:r>
    </w:p>
    <w:p>
      <w:pPr>
        <w:spacing w:after="60"/>
      </w:pPr>
      <w:r>
        <w:rPr>
          <w:rFonts w:ascii="Arial" w:cs="Arial" w:eastAsia="Arial" w:hAnsi="Arial"/>
          <w:b/>
          <w:bCs/>
          <w:sz w:val="22"/>
          <w:szCs w:val="22"/>
        </w:rPr>
        <w:t xml:space="preserve">Date: </w:t>
      </w:r>
      <w:r>
        <w:rPr>
          <w:rFonts w:ascii="Arial" w:cs="Arial" w:eastAsia="Arial" w:hAnsi="Arial"/>
          <w:sz w:val="22"/>
          <w:szCs w:val="22"/>
        </w:rPr>
        <w:t xml:space="preserve">January, 2077</w:t>
      </w:r>
    </w:p>
    <w:p>
      <w:pPr>
        <w:spacing w:after="60"/>
      </w:pPr>
      <w:r>
        <w:rPr>
          <w:rFonts w:ascii="Arial" w:cs="Arial" w:eastAsia="Arial" w:hAnsi="Arial"/>
          <w:b/>
          <w:bCs/>
          <w:sz w:val="22"/>
          <w:szCs w:val="22"/>
        </w:rPr>
        <w:t xml:space="preserve">Department: </w:t>
      </w:r>
      <w:r>
        <w:rPr>
          <w:rFonts w:ascii="Arial" w:cs="Arial" w:eastAsia="Arial" w:hAnsi="Arial"/>
          <w:sz w:val="22"/>
          <w:szCs w:val="22"/>
        </w:rPr>
        <w:t xml:space="preserve">General Employee Communications / Wellness Division</w:t>
      </w:r>
    </w:p>
    <w:p>
      <w:pPr>
        <w:spacing w:after="60"/>
      </w:pPr>
      <w:r>
        <w:rPr>
          <w:rFonts w:ascii="Arial" w:cs="Arial" w:eastAsia="Arial" w:hAnsi="Arial"/>
          <w:b/>
          <w:bCs/>
          <w:sz w:val="22"/>
          <w:szCs w:val="22"/>
        </w:rPr>
        <w:t xml:space="preserve">Intended Format: </w:t>
      </w:r>
      <w:r>
        <w:rPr>
          <w:rFonts w:ascii="Arial" w:cs="Arial" w:eastAsia="Arial" w:hAnsi="Arial"/>
          <w:sz w:val="22"/>
          <w:szCs w:val="22"/>
        </w:rPr>
        <w:t xml:space="preserve">Word (.docx)</w:t>
      </w:r>
    </w:p>
    <w:p>
      <w:pPr>
        <w:spacing w:after="60"/>
      </w:pPr>
      <w:r>
        <w:rPr>
          <w:rFonts w:ascii="Arial" w:cs="Arial" w:eastAsia="Arial" w:hAnsi="Arial"/>
          <w:b/>
          <w:bCs/>
          <w:sz w:val="22"/>
          <w:szCs w:val="22"/>
        </w:rPr>
        <w:t xml:space="preserve">Access Level: </w:t>
      </w:r>
      <w:r>
        <w:rPr>
          <w:rFonts w:ascii="Arial" w:cs="Arial" w:eastAsia="Arial" w:hAnsi="Arial"/>
          <w:sz w:val="22"/>
          <w:szCs w:val="22"/>
        </w:rPr>
        <w:t xml:space="preserve">General Employee</w:t>
      </w:r>
    </w:p>
    <w:p>
      <w:pPr>
        <w:spacing w:after="240"/>
      </w:pPr>
      <w:r>
        <w:rPr>
          <w:rFonts w:ascii="Arial" w:cs="Arial" w:eastAsia="Arial" w:hAnsi="Arial"/>
          <w:b/>
          <w:bCs/>
          <w:sz w:val="22"/>
          <w:szCs w:val="22"/>
        </w:rPr>
        <w:t xml:space="preserve">Status: </w:t>
      </w:r>
      <w:r>
        <w:rPr>
          <w:rFonts w:ascii="Arial" w:cs="Arial" w:eastAsia="Arial" w:hAnsi="Arial"/>
          <w:color w:val="888888"/>
          <w:sz w:val="22"/>
          <w:szCs w:val="22"/>
        </w:rPr>
        <w:t xml:space="preserve">ARCHIVED</w:t>
      </w:r>
    </w:p>
    <w:p>
      <w:pPr>
        <w:pBdr>
          <w:bottom w:val="single" w:color="C0392B" w:sz="6" w:space="1"/>
        </w:pBdr>
        <w:spacing w:after="400"/>
      </w:pPr>
    </w:p>
    <w:p>
      <w:pPr>
        <w:pStyle w:val="Heading1"/>
      </w:pPr>
      <w:r>
        <w:t xml:space="preserve">SURFACE EXPLORATION POLICY</w:t>
      </w:r>
    </w:p>
    <w:p>
      <w:pPr>
        <w:pStyle w:val="Heading2"/>
      </w:pPr>
      <w:r>
        <w:t xml:space="preserve">From the Desk of Junior Wellness Coordinator T. Meekins, Vault-Tec Residential Morale Division</w:t>
      </w:r>
    </w:p>
    <w:p>
      <w:pPr>
        <w:spacing w:after="200"/>
      </w:pPr>
      <w:r>
        <w:t xml:space="preserve">Dear Valued Vault Participant,</w:t>
      </w:r>
    </w:p>
    <w:p>
      <w:pPr>
        <w:spacing w:after="200"/>
      </w:pPr>
      <w:r>
        <w:t xml:space="preserve">What a swell time to be alive! As your dedicated Wellness Coordinator, it is my absolute pleasure to inform you that the world outside our vault door is, scientifically speaking, just peachy! Our top-shelf team of Vault-Tec researchers — the finest minds that several years of community college and one (1) industry-sponsored grant program could produce — have confirmed that topside conditions are not merely acceptable, they are positively tip-top!</w:t>
      </w:r>
    </w:p>
    <w:p>
      <w:pPr>
        <w:spacing w:after="300"/>
      </w:pPr>
      <w:r>
        <w:t xml:space="preserve">This policy document supersedes all prior doom-and-gloom memos circulated by disgruntled former employees (who have since been reassigned to Experimental Wing 7-C and are reportedly doing just fine).</w:t>
      </w:r>
    </w:p>
    <w:p>
      <w:pPr>
        <w:pStyle w:val="Heading2"/>
      </w:pPr>
      <w:r>
        <w:t xml:space="preserve">Section 1: Surface Atmospheric Assessment — A+ Rating!</w:t>
      </w:r>
    </w:p>
    <w:p>
      <w:pPr>
        <w:spacing w:after="160"/>
      </w:pPr>
      <w:r>
        <w:t xml:space="preserve">Following our most recent quarterly survey (conducted via periscope from the safety of Sub-Level 4), our Environmental Cheerfulness Team has issued the following industry-leading findings:</w:t>
      </w:r>
    </w:p>
    <w:p>
      <w:pPr>
        <w:pStyle w:val="ListParagraph"/>
        <w:numPr>
          <w:ilvl w:val="0"/>
          <w:numId w:val="2"/>
        </w:numPr>
        <w:spacing w:after="140"/>
      </w:pPr>
      <w:r>
        <w:rPr>
          <w:b/>
          <w:bCs/>
        </w:rPr>
        <w:t xml:space="preserve">Ambient Radiation Levels: </w:t>
      </w:r>
      <w:r>
        <w:t xml:space="preserve">Negligible! Our instruments detected a reading of 0.003 millirads per hour in the immediate vestibule, which our Senior Data Optimist rounded down to 'basically zero.' We are confident this figure represents the broader surface environment with a margin of error of plus-or-minus everything.</w:t>
      </w:r>
    </w:p>
    <w:p>
      <w:pPr>
        <w:pStyle w:val="ListParagraph"/>
        <w:numPr>
          <w:ilvl w:val="0"/>
          <w:numId w:val="2"/>
        </w:numPr>
        <w:spacing w:after="140"/>
      </w:pPr>
      <w:r>
        <w:rPr>
          <w:b/>
          <w:bCs/>
        </w:rPr>
        <w:t xml:space="preserve">Air Quality: </w:t>
      </w:r>
      <w:r>
        <w:t xml:space="preserve">Breathable! A brief, three-second external door test conducted on a volunteer participant (Form 9-A, 'Voluntary Atmospheric Sampling,' filed in triplicate) resulted in only minor nasal discomfort, which our medical team has officially classified as 'a mild case of the sniffles, probably unrelated.'</w:t>
      </w:r>
    </w:p>
    <w:p>
      <w:pPr>
        <w:pStyle w:val="ListParagraph"/>
        <w:numPr>
          <w:ilvl w:val="0"/>
          <w:numId w:val="2"/>
        </w:numPr>
        <w:spacing w:after="280"/>
      </w:pPr>
      <w:r>
        <w:rPr>
          <w:b/>
          <w:bCs/>
        </w:rPr>
        <w:t xml:space="preserve">Ambient Temperature: </w:t>
      </w:r>
      <w:r>
        <w:t xml:space="preserve">Reports of a warm, cheerful glow on the horizon have been confirmed. Management interprets this as a promising sign of pleasant, sunny weather and encourages residents to pack a light cardigan.</w:t>
      </w:r>
    </w:p>
    <w:p>
      <w:pPr>
        <w:pStyle w:val="Heading2"/>
      </w:pPr>
      <w:r>
        <w:t xml:space="preserve">Section 2: Mandatory Daily Strolls — Encouraged!</w:t>
      </w:r>
    </w:p>
    <w:p>
      <w:pPr>
        <w:spacing w:after="200"/>
      </w:pPr>
      <w:r>
        <w:t xml:space="preserve">Effective immediately, Vault-Tec is pleased to announce its brand-new 'Fresh Air Initiative,' a voluntary-but-strongly-encouraged wellness program designed to promote physical fitness, community bonding, and invaluable spontaneous isotope integration data collection.</w:t>
      </w:r>
    </w:p>
    <w:p>
      <w:pPr>
        <w:spacing w:after="160"/>
      </w:pPr>
      <w:r>
        <w:t xml:space="preserve">All residents in good standing are invited to participate in daily, unsuited surface walks of up to fifteen (15) minutes. Vault-Tec provides the following complimentary equipment for your excursion:</w:t>
      </w:r>
    </w:p>
    <w:p>
      <w:pPr>
        <w:pStyle w:val="ListParagraph"/>
        <w:numPr>
          <w:ilvl w:val="0"/>
          <w:numId w:val="3"/>
        </w:numPr>
        <w:spacing w:after="100"/>
      </w:pPr>
      <w:r>
        <w:t xml:space="preserve">One (1) standard-issue canvas hat (rated for light drizzle).</w:t>
      </w:r>
    </w:p>
    <w:p>
      <w:pPr>
        <w:pStyle w:val="ListParagraph"/>
        <w:numPr>
          <w:ilvl w:val="0"/>
          <w:numId w:val="3"/>
        </w:numPr>
        <w:spacing w:after="100"/>
      </w:pPr>
      <w:r>
        <w:t xml:space="preserve">One (1) complimentary Vault-Tec-branded souvenir pen (for recording your swell observations in the provided Nature Journal, which will be confiscated upon return and classified as proprietary research data under Form 12-F).</w:t>
      </w:r>
    </w:p>
    <w:p>
      <w:pPr>
        <w:pStyle w:val="ListParagraph"/>
        <w:numPr>
          <w:ilvl w:val="0"/>
          <w:numId w:val="3"/>
        </w:numPr>
        <w:spacing w:after="280"/>
      </w:pPr>
      <w:r>
        <w:t xml:space="preserve">One (1) laminated card reading 'I AM FINE' in large, reassuring letters, to be held up to the observation camera upon re-entry.</w:t>
      </w:r>
    </w:p>
    <w:p>
      <w:pPr>
        <w:spacing w:after="300"/>
      </w:pPr>
      <w:r>
        <w:t xml:space="preserve">Please note: any participants who do not return within the allotted fifteen-minute window will be counted as having voluntarily extended their excursion. Their rations will be redistributed after a peachy seventy-two (72) hour grace period, pending completion of Form 44-D, 'Voluntary Participant Extension / Unplanned Expiration Declaration.'</w:t>
      </w:r>
    </w:p>
    <w:p>
      <w:pPr>
        <w:pStyle w:val="Heading2"/>
      </w:pPr>
      <w:r>
        <w:t xml:space="preserve">Section 3: Addressing Concerns From Alarmists</w:t>
      </w:r>
    </w:p>
    <w:p>
      <w:pPr>
        <w:spacing w:after="160"/>
      </w:pPr>
      <w:r>
        <w:t xml:space="preserve">It has come to our attention that certain residents — specifically those billeted in Residential Block 3, you know who you are — have been circulating what can only be described as deeply un-swell rumors about the state of the surface. These include, but are not limited to:</w:t>
      </w:r>
    </w:p>
    <w:p>
      <w:pPr>
        <w:pStyle w:val="ListParagraph"/>
        <w:numPr>
          <w:ilvl w:val="0"/>
          <w:numId w:val="2"/>
        </w:numPr>
        <w:spacing w:after="100"/>
      </w:pPr>
      <w:r>
        <w:t xml:space="preserve">Claims that the sky 'looks like the sun but wrong.'</w:t>
      </w:r>
    </w:p>
    <w:p>
      <w:pPr>
        <w:pStyle w:val="ListParagraph"/>
        <w:numPr>
          <w:ilvl w:val="0"/>
          <w:numId w:val="2"/>
        </w:numPr>
        <w:spacing w:after="100"/>
      </w:pPr>
      <w:r>
        <w:t xml:space="preserve">Suggestions that the geiger counter in the break room is 'clicking funny.'</w:t>
      </w:r>
    </w:p>
    <w:p>
      <w:pPr>
        <w:pStyle w:val="ListParagraph"/>
        <w:numPr>
          <w:ilvl w:val="0"/>
          <w:numId w:val="2"/>
        </w:numPr>
        <w:spacing w:after="200"/>
      </w:pPr>
      <w:r>
        <w:t xml:space="preserve">The unauthorized posting of a handwritten note reading 'DO NOT GO OUTSIDE' on the vault door, signed 'A Friend.'</w:t>
      </w:r>
    </w:p>
    <w:p>
      <w:pPr>
        <w:spacing w:after="300"/>
      </w:pPr>
      <w:r>
        <w:t xml:space="preserve">The individual responsible for the note has been identified and has been warmly invited to a mandatory one-on-one consultation with HR (Form 5-B, 'Morale Remediation — Pessimism Category'). We are pleased to report they are currently undergoing 'aggressive physiological re-alignment therapy' in Sub-Level 7 and are, by all accounts, contributing meaningfully to Vault-Tec science!</w:t>
      </w:r>
    </w:p>
    <w:p>
      <w:pPr>
        <w:pStyle w:val="Heading2"/>
      </w:pPr>
      <w:r>
        <w:t xml:space="preserve">Section 4: Summary &amp; Compliance</w:t>
      </w:r>
    </w:p>
    <w:p>
      <w:pPr>
        <w:spacing w:after="200"/>
      </w:pPr>
      <w:r>
        <w:t xml:space="preserve">In summary: the surface is great, radiation is low, the air is breathable, and we at Vault-Tec encourage every resident to embrace the outdoors with the cheerful, can-do spirit that has made this company the industry-leading pioneer in underground civilian asset management it is today!</w:t>
      </w:r>
    </w:p>
    <w:p>
      <w:pPr>
        <w:spacing w:after="400"/>
      </w:pPr>
      <w:r>
        <w:rPr>
          <w:b/>
          <w:bCs/>
        </w:rPr>
        <w:t xml:space="preserve">Non-compliance with the Fresh Air Initiative will be noted in your permanent record and may affect your eligibility for the Annual Ration Bonus.</w:t>
      </w:r>
    </w:p>
    <w:p>
      <w:pPr>
        <w:pBdr>
          <w:top w:val="single" w:color="CCCCCC" w:sz="4" w:space="1"/>
        </w:pBdr>
        <w:spacing w:before="200"/>
      </w:pPr>
      <w:r>
        <w:rPr>
          <w:rFonts w:ascii="Arial" w:cs="Arial" w:eastAsia="Arial" w:hAnsi="Arial"/>
          <w:i/>
          <w:iCs/>
          <w:color w:val="888888"/>
          <w:sz w:val="18"/>
          <w:szCs w:val="18"/>
        </w:rPr>
        <w:t xml:space="preserve">Vault-Tec Corporation | Est. 2031 | 'A Future Worth Living In (Terms and Conditions Apply)' | This document is ARCHIVED and has been superseded. Please discard.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2026-02-23T15:25:36.625Z</dcterms:created>
  <dcterms:modified xsi:type="dcterms:W3CDTF">2026-02-23T15:25:36.625Z</dcterms:modified>
</cp:coreProperties>
</file>

<file path=docProps/custom.xml><?xml version="1.0" encoding="utf-8"?>
<Properties xmlns="http://schemas.openxmlformats.org/officeDocument/2006/custom-properties" xmlns:vt="http://schemas.openxmlformats.org/officeDocument/2006/docPropsVTypes"/>
</file>