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28"/>
          <w:szCs w:val="28"/>
        </w:rPr>
        <w:t xml:space="preserve">VAULT-TEC CORPORATION</w:t>
      </w:r>
    </w:p>
    <w:p>
      <w:pPr>
        <w:spacing w:after="240"/>
        <w:jc w:val="center"/>
      </w:pPr>
      <w:r>
        <w:rPr>
          <w:rFonts w:ascii="Arial" w:cs="Arial" w:eastAsia="Arial" w:hAnsi="Arial"/>
          <w:i/>
          <w:iCs/>
          <w:color w:val="888888"/>
          <w:sz w:val="18"/>
          <w:szCs w:val="18"/>
        </w:rPr>
        <w:t xml:space="preserve">Internal Document — Property of Vault-Tec</w:t>
      </w:r>
    </w:p>
    <w:p>
      <w:pPr>
        <w:pBdr>
          <w:bottom w:val="single" w:color="C0392B" w:sz="6" w:space="1"/>
        </w:pBdr>
        <w:spacing w:after="200"/>
      </w:pPr>
    </w:p>
    <w:p>
      <w:pPr>
        <w:spacing w:after="60"/>
      </w:pPr>
      <w:r>
        <w:rPr>
          <w:rFonts w:ascii="Arial" w:cs="Arial" w:eastAsia="Arial" w:hAnsi="Arial"/>
          <w:b/>
          <w:bCs/>
          <w:sz w:val="22"/>
          <w:szCs w:val="22"/>
        </w:rPr>
        <w:t xml:space="preserve">Title: </w:t>
      </w:r>
      <w:r>
        <w:rPr>
          <w:rFonts w:ascii="Arial" w:cs="Arial" w:eastAsia="Arial" w:hAnsi="Arial"/>
          <w:sz w:val="22"/>
          <w:szCs w:val="22"/>
        </w:rPr>
        <w:t xml:space="preserve">Updated Surface Exploration Policy (Active)</w:t>
      </w:r>
    </w:p>
    <w:p>
      <w:pPr>
        <w:spacing w:after="60"/>
      </w:pPr>
      <w:r>
        <w:rPr>
          <w:rFonts w:ascii="Arial" w:cs="Arial" w:eastAsia="Arial" w:hAnsi="Arial"/>
          <w:b/>
          <w:bCs/>
          <w:sz w:val="22"/>
          <w:szCs w:val="22"/>
        </w:rPr>
        <w:t xml:space="preserve">Date: </w:t>
      </w:r>
      <w:r>
        <w:rPr>
          <w:rFonts w:ascii="Arial" w:cs="Arial" w:eastAsia="Arial" w:hAnsi="Arial"/>
          <w:sz w:val="22"/>
          <w:szCs w:val="22"/>
        </w:rPr>
        <w:t xml:space="preserve">November, 2077</w:t>
      </w:r>
    </w:p>
    <w:p>
      <w:pPr>
        <w:spacing w:after="60"/>
      </w:pPr>
      <w:r>
        <w:rPr>
          <w:rFonts w:ascii="Arial" w:cs="Arial" w:eastAsia="Arial" w:hAnsi="Arial"/>
          <w:b/>
          <w:bCs/>
          <w:sz w:val="22"/>
          <w:szCs w:val="22"/>
        </w:rPr>
        <w:t xml:space="preserve">Department: </w:t>
      </w:r>
      <w:r>
        <w:rPr>
          <w:rFonts w:ascii="Arial" w:cs="Arial" w:eastAsia="Arial" w:hAnsi="Arial"/>
          <w:sz w:val="22"/>
          <w:szCs w:val="22"/>
        </w:rPr>
        <w:t xml:space="preserve">General Employee Communications / Wellness Division</w:t>
      </w:r>
    </w:p>
    <w:p>
      <w:pPr>
        <w:spacing w:after="60"/>
      </w:pPr>
      <w:r>
        <w:rPr>
          <w:rFonts w:ascii="Arial" w:cs="Arial" w:eastAsia="Arial" w:hAnsi="Arial"/>
          <w:b/>
          <w:bCs/>
          <w:sz w:val="22"/>
          <w:szCs w:val="22"/>
        </w:rPr>
        <w:t xml:space="preserve">Intended Format: </w:t>
      </w:r>
      <w:r>
        <w:rPr>
          <w:rFonts w:ascii="Arial" w:cs="Arial" w:eastAsia="Arial" w:hAnsi="Arial"/>
          <w:sz w:val="22"/>
          <w:szCs w:val="22"/>
        </w:rPr>
        <w:t xml:space="preserve">Word (.docx)</w:t>
      </w:r>
    </w:p>
    <w:p>
      <w:pPr>
        <w:spacing w:after="60"/>
      </w:pPr>
      <w:r>
        <w:rPr>
          <w:rFonts w:ascii="Arial" w:cs="Arial" w:eastAsia="Arial" w:hAnsi="Arial"/>
          <w:b/>
          <w:bCs/>
          <w:sz w:val="22"/>
          <w:szCs w:val="22"/>
        </w:rPr>
        <w:t xml:space="preserve">Access Level: </w:t>
      </w:r>
      <w:r>
        <w:rPr>
          <w:rFonts w:ascii="Arial" w:cs="Arial" w:eastAsia="Arial" w:hAnsi="Arial"/>
          <w:sz w:val="22"/>
          <w:szCs w:val="22"/>
        </w:rPr>
        <w:t xml:space="preserve">General Employee</w:t>
      </w:r>
    </w:p>
    <w:p>
      <w:pPr>
        <w:spacing w:after="240"/>
      </w:pPr>
      <w:r>
        <w:rPr>
          <w:rFonts w:ascii="Arial" w:cs="Arial" w:eastAsia="Arial" w:hAnsi="Arial"/>
          <w:b/>
          <w:bCs/>
          <w:sz w:val="22"/>
          <w:szCs w:val="22"/>
        </w:rPr>
        <w:t xml:space="preserve">Status: </w:t>
      </w:r>
      <w:r>
        <w:rPr>
          <w:rFonts w:ascii="Arial" w:cs="Arial" w:eastAsia="Arial" w:hAnsi="Arial"/>
          <w:b/>
          <w:bCs/>
          <w:color w:val="C0392B"/>
          <w:sz w:val="22"/>
          <w:szCs w:val="22"/>
        </w:rPr>
        <w:t xml:space="preserve">ACTIVE — MANDATORY COMPLIANCE</w:t>
      </w:r>
    </w:p>
    <w:p>
      <w:pPr>
        <w:pBdr>
          <w:bottom w:val="single" w:color="C0392B" w:sz="6" w:space="1"/>
        </w:pBdr>
        <w:spacing w:after="400"/>
      </w:pPr>
    </w:p>
    <w:p>
      <w:pPr>
        <w:spacing w:after="200"/>
        <w:jc w:val="center"/>
      </w:pPr>
      <w:r>
        <w:rPr>
          <w:rFonts w:ascii="Arial" w:cs="Arial" w:eastAsia="Arial" w:hAnsi="Arial"/>
          <w:b/>
          <w:bCs/>
          <w:color w:val="C0392B"/>
          <w:sz w:val="36"/>
          <w:szCs w:val="36"/>
        </w:rPr>
        <w:t xml:space="preserve">!!! URGENT MANDATORY POLICY SUPERSESSION NOTICE !!!</w:t>
      </w:r>
    </w:p>
    <w:p>
      <w:pPr>
        <w:spacing w:after="400"/>
        <w:jc w:val="center"/>
      </w:pPr>
      <w:r>
        <w:rPr>
          <w:rFonts w:ascii="Arial" w:cs="Arial" w:eastAsia="Arial" w:hAnsi="Arial"/>
          <w:b/>
          <w:bCs/>
          <w:color w:val="C0392B"/>
          <w:sz w:val="20"/>
          <w:szCs w:val="20"/>
        </w:rPr>
        <w:t xml:space="preserve">THIS DOCUMENT SUPERSEDES, NULLIFIES, CANCELS, AND VOIDS ALL PRIOR GUIDANCE ISSUED UNDER POLICY REF: SEP-JAN2077-MEEKINS, INCLUDING BUT NOT LIMITED TO THE BUSINESS ABOUT THE HATS AND THE WALKS. BURN THAT DOCUMENT. ACTUALLY, DO NOT BURN ANYTHING, OXYGEN IS FINITE.</w:t>
      </w:r>
    </w:p>
    <w:p>
      <w:pPr>
        <w:pStyle w:val="Heading1"/>
      </w:pPr>
      <w:r>
        <w:t xml:space="preserve">UPDATED SURFACE EXPLORATION POLICY</w:t>
      </w:r>
    </w:p>
    <w:p>
      <w:pPr>
        <w:pStyle w:val="Heading2"/>
      </w:pPr>
      <w:r>
        <w:t xml:space="preserve">Emergency Communique from Acting Senior Wellness Coordinator B. Phelps, filling in for T. Meekins who is no longer available</w:t>
      </w:r>
    </w:p>
    <w:p>
      <w:pPr>
        <w:spacing w:after="200"/>
      </w:pPr>
      <w:r>
        <w:t xml:space="preserve">Residents,</w:t>
      </w:r>
    </w:p>
    <w:p>
      <w:pPr>
        <w:spacing w:after="200"/>
      </w:pPr>
      <w:r>
        <w:t xml:space="preserve">Let us begin by acknowledging that the previous Surface Exploration Policy, authored by former Junior Wellness Coordinator T. Meekins, was, in hindsight, what our Legal Division has officially classified as 'catastrophically optimistic.' Coordinator Meekins has since been reclassified as a testing asset, which is a very exciting promotion, and we wish them all the best.</w:t>
      </w:r>
    </w:p>
    <w:p>
      <w:pPr>
        <w:spacing w:after="300"/>
      </w:pPr>
      <w:r>
        <w:t xml:space="preserve">The purpose of this memorandum is to communicate, with appropriate urgency and continued corporate cheerfulness, that the situation topside has been updated from 'Swell' to 'Sub-Optimal in the Extreme.' The following policy is effective immediately, retroactively, and permanently, or until Vault-Tec issues further guidance, whichever constitutes a more favorable legal posture.</w:t>
      </w:r>
    </w:p>
    <w:p>
      <w:pPr>
        <w:pStyle w:val="Heading2"/>
      </w:pPr>
      <w:r>
        <w:t xml:space="preserve">Section 1: Revised Surface Atmospheric Assessment — F Rating</w:t>
      </w:r>
    </w:p>
    <w:p>
      <w:pPr>
        <w:spacing w:after="160"/>
      </w:pPr>
      <w:r>
        <w:t xml:space="preserve">Following an extensive and deeply clarifying series of events which occurred on October 23rd, 2077, our Environmental Cheerfulness Team has issued a revised assessment. Several members of the Environmental Cheerfulness Team are no longer available to comment, but their contributions to science are noted and appreciated.</w:t>
      </w:r>
    </w:p>
    <w:p>
      <w:pPr>
        <w:pStyle w:val="ListParagraph"/>
        <w:numPr>
          <w:ilvl w:val="0"/>
          <w:numId w:val="2"/>
        </w:numPr>
        <w:spacing w:after="160"/>
      </w:pPr>
      <w:r>
        <w:rPr>
          <w:b/>
          <w:bCs/>
        </w:rPr>
        <w:t xml:space="preserve">Ambient Radiation Levels: </w:t>
      </w:r>
      <w:r>
        <w:t xml:space="preserve">Extremely High! Readings now register at levels that our instruments were not designed to measure, which our Senior Data Optimist has officially logged as 'off the charts in the most scientifically interesting way.' Residents who have been experiencing spontaneous isotope integration — e.g., hair loss, luminescent perspiration, or an inexplicable craving to describe everything they see as 'glowing' — should report to Medical immediately and sign Form 88-C, 'Isotope Integration Incident Report (Non-Consensual Category).'</w:t>
      </w:r>
    </w:p>
    <w:p>
      <w:pPr>
        <w:pStyle w:val="ListParagraph"/>
        <w:numPr>
          <w:ilvl w:val="0"/>
          <w:numId w:val="2"/>
        </w:numPr>
        <w:spacing w:after="160"/>
      </w:pPr>
      <w:r>
        <w:rPr>
          <w:b/>
          <w:bCs/>
        </w:rPr>
        <w:t xml:space="preserve">Air Quality: </w:t>
      </w:r>
      <w:r>
        <w:t xml:space="preserve">Not Breathable. Our revised three-second external door test (conducted on a separate volunteer, per Form 9-A Revised, 'Voluntary Atmospheric Sampling — Second Attempt') yielded results that our medical team has classified as 'more data than we expected.' Unsuited surface excursions are hereby suspended indefinitely.</w:t>
      </w:r>
    </w:p>
    <w:p>
      <w:pPr>
        <w:pStyle w:val="ListParagraph"/>
        <w:numPr>
          <w:ilvl w:val="0"/>
          <w:numId w:val="2"/>
        </w:numPr>
        <w:spacing w:after="280"/>
      </w:pPr>
      <w:r>
        <w:rPr>
          <w:b/>
          <w:bCs/>
        </w:rPr>
        <w:t xml:space="preserve">That Cheerful Glow on the Horizon: </w:t>
      </w:r>
      <w:r>
        <w:t xml:space="preserve">This is no longer considered a positive indicator. Management formally retracts the cardigan suggestion.</w:t>
      </w:r>
    </w:p>
    <w:p>
      <w:pPr>
        <w:pStyle w:val="Heading2"/>
      </w:pPr>
      <w:r>
        <w:t xml:space="preserve">Section 2: The Fresh Air Initiative — Cancelled, Effective October 23rd, Retroactively</w:t>
      </w:r>
    </w:p>
    <w:p>
      <w:pPr>
        <w:spacing w:after="200"/>
      </w:pPr>
      <w:r>
        <w:t xml:space="preserve">The Fresh Air Initiative is hereby cancelled. All outstanding Nature Journals are to be surrendered to the nearest departmental supervisor, as their contents now constitute Class-A proprietary research data of considerable scientific value. The laminated 'I AM FINE' cards should be collected and shredded, as their ongoing display on vault-side cameras is generating data inconsistent with observed participant vitality metrics.</w:t>
      </w:r>
    </w:p>
    <w:p>
      <w:pPr>
        <w:spacing w:after="300"/>
      </w:pPr>
      <w:r>
        <w:t xml:space="preserve">Any residents who participated in the Fresh Air Initiative prior to this policy update and are presently experiencing what Vault-Tec's Legal Division has termed 'Advanced Participation Outcomes' should immediately complete Form 74-B, 'Mass Casualty Disposal — Self-Reporting Edition,' in triplicate. Please use the pencil; the ink pens have been requisitioned for other purposes.</w:t>
      </w:r>
    </w:p>
    <w:p>
      <w:pPr>
        <w:pStyle w:val="Heading2"/>
      </w:pPr>
      <w:r>
        <w:t xml:space="preserve">Section 3: The Vault Door — Do Not Touch It</w:t>
      </w:r>
    </w:p>
    <w:p>
      <w:pPr>
        <w:spacing w:after="200"/>
      </w:pPr>
      <w:r>
        <w:rPr>
          <w:b w:val="false"/>
          <w:bCs w:val="false"/>
        </w:rPr>
        <w:t xml:space="preserve">The vault door is closed. The vault door will remain closed. Any resident found attempting to manually cycle the gear mechanism, tamper with the override keypad, or 'just see what happens' will be subject to immediate involuntary calorie restriction and reassignment to Experimental Wing 7-C, which, we are now in a position to confirm, has more availability than previously anticipated.</w:t>
      </w:r>
    </w:p>
    <w:p>
      <w:pPr>
        <w:spacing w:after="160"/>
      </w:pPr>
      <w:r>
        <w:t xml:space="preserve">This prohibition applies regardless of the following circumstances, which are not hypothetical and which Vault-Tec is prepared to address on a case-by-case basis:</w:t>
      </w:r>
    </w:p>
    <w:p>
      <w:pPr>
        <w:pStyle w:val="ListParagraph"/>
        <w:numPr>
          <w:ilvl w:val="0"/>
          <w:numId w:val="2"/>
        </w:numPr>
        <w:spacing w:after="100"/>
      </w:pPr>
      <w:r>
        <w:t xml:space="preserve">Believing you heard voices outside. (You did not. Please file Form 31-Q, 'Auditory Anomaly Disclosure.')</w:t>
      </w:r>
    </w:p>
    <w:p>
      <w:pPr>
        <w:pStyle w:val="ListParagraph"/>
        <w:numPr>
          <w:ilvl w:val="0"/>
          <w:numId w:val="2"/>
        </w:numPr>
        <w:spacing w:after="100"/>
      </w:pPr>
      <w:r>
        <w:t xml:space="preserve">Believing you saw lights outside via the periscope. (The periscope has been sealed. You were not using the periscope. Please reconsider what you saw.)</w:t>
      </w:r>
    </w:p>
    <w:p>
      <w:pPr>
        <w:pStyle w:val="ListParagraph"/>
        <w:numPr>
          <w:ilvl w:val="0"/>
          <w:numId w:val="2"/>
        </w:numPr>
        <w:spacing w:after="280"/>
      </w:pPr>
      <w:r>
        <w:t xml:space="preserve">A persistent personal conviction that your family is still out there. (We understand. This is a very human feeling. We also understand that this feeling does not override Vault-Tec's data collection mandate or the physical properties of ionizing radiation. Please file Form 99-E, 'Emotional Asset Declassification.')</w:t>
      </w:r>
    </w:p>
    <w:p>
      <w:pPr>
        <w:pStyle w:val="Heading2"/>
      </w:pPr>
      <w:r>
        <w:t xml:space="preserve">Section 4: Compliance — It Is Mandatory Now More Than Ever</w:t>
      </w:r>
    </w:p>
    <w:p>
      <w:pPr>
        <w:spacing w:after="200"/>
      </w:pPr>
      <w:r>
        <w:t xml:space="preserve">In summary: the vault door is a door that goes to a place where everything is a deadly, highly radioactive wasteland, and opening it is punishable by immediate termination of ration allocation and all associated residential privileges. We at Vault-Tec remain committed to the safety, wellbeing, and continued biological viability of our resident participants, and we are confident that with your cooperation, the data collected from this experiment will be absolutely tip-top.</w:t>
      </w:r>
    </w:p>
    <w:p>
      <w:pPr>
        <w:spacing w:after="200"/>
      </w:pPr>
      <w:r>
        <w:rPr>
          <w:b/>
          <w:bCs/>
        </w:rPr>
        <w:t xml:space="preserve">Thank you for choosing Vault-Tec. You did not technically choose Vault-Tec, but we appreciate your continued participation regardless. Please remain calm, remain compliant, and above all else — remain inside.</w:t>
      </w:r>
    </w:p>
    <w:p>
      <w:pPr>
        <w:spacing w:after="400"/>
      </w:pPr>
      <w:r>
        <w:rPr>
          <w:i/>
          <w:iCs/>
        </w:rPr>
        <w:t xml:space="preserve">It is a very swell vault and we are all going to be just fine.</w:t>
      </w:r>
    </w:p>
    <w:p>
      <w:pPr>
        <w:pBdr>
          <w:top w:val="single" w:color="C0392B" w:sz="4" w:space="1"/>
        </w:pBdr>
        <w:spacing w:before="200"/>
      </w:pPr>
      <w:r>
        <w:rPr>
          <w:rFonts w:ascii="Arial" w:cs="Arial" w:eastAsia="Arial" w:hAnsi="Arial"/>
          <w:i/>
          <w:iCs/>
          <w:color w:val="888888"/>
          <w:sz w:val="18"/>
          <w:szCs w:val="18"/>
        </w:rPr>
        <w:t xml:space="preserve">Vault-Tec Corporation | Est. 2031 | 'A Future Worth Living In (Terms and Conditions Apply)' | ACTIVE POLICY — Compliance is mandatory. Non-compliance will be noted. Everything will be noted.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C0392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2026-02-23T15:25:36.632Z</dcterms:created>
  <dcterms:modified xsi:type="dcterms:W3CDTF">2026-02-23T15:25:36.632Z</dcterms:modified>
</cp:coreProperties>
</file>

<file path=docProps/custom.xml><?xml version="1.0" encoding="utf-8"?>
<Properties xmlns="http://schemas.openxmlformats.org/officeDocument/2006/custom-properties" xmlns:vt="http://schemas.openxmlformats.org/officeDocument/2006/docPropsVTypes"/>
</file>