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before="0" w:after="60" w:line="276"/>
        <w:jc w:val="center"/>
      </w:pPr>
      <w:r>
        <w:rPr>
          <w:rFonts w:ascii="Times New Roman" w:cs="Times New Roman" w:eastAsia="Times New Roman" w:hAnsi="Times New Roman"/>
          <w:b/>
          <w:bCs/>
          <w:i w:val="false"/>
          <w:iCs w:val="false"/>
          <w:color w:val="000000"/>
          <w:sz w:val="28"/>
          <w:szCs w:val="28"/>
        </w:rPr>
        <w:t xml:space="preserve">UNITED STATES PATENT AND TRADEMARK OFFICE</w:t>
      </w:r>
    </w:p>
    <w:p>
      <w:pPr>
        <w:spacing w:before="0" w:after="200" w:line="276"/>
        <w:jc w:val="center"/>
      </w:pPr>
      <w:r>
        <w:rPr>
          <w:rFonts w:ascii="Times New Roman" w:cs="Times New Roman" w:eastAsia="Times New Roman" w:hAnsi="Times New Roman"/>
          <w:b w:val="false"/>
          <w:bCs w:val="false"/>
          <w:i w:val="false"/>
          <w:iCs w:val="false"/>
          <w:color w:val="999999"/>
          <w:sz w:val="24"/>
          <w:szCs w:val="24"/>
        </w:rPr>
        <w:t xml:space="preserve">──────────────────────────────────────────────────</w:t>
      </w:r>
    </w:p>
    <w:p>
      <w:pPr>
        <w:spacing w:before="0" w:after="60" w:line="276"/>
        <w:jc w:val="center"/>
      </w:pPr>
      <w:r>
        <w:rPr>
          <w:rFonts w:ascii="Times New Roman" w:cs="Times New Roman" w:eastAsia="Times New Roman" w:hAnsi="Times New Roman"/>
          <w:b/>
          <w:bCs/>
          <w:i w:val="false"/>
          <w:iCs w:val="false"/>
          <w:color w:val="000000"/>
          <w:sz w:val="26"/>
          <w:szCs w:val="26"/>
        </w:rPr>
        <w:t xml:space="preserve">PROVISIONAL APPLICATION FOR PATENT COVER SHEET</w:t>
      </w:r>
    </w:p>
    <w:p>
      <w:pPr>
        <w:spacing w:before="0" w:after="400" w:line="276"/>
        <w:jc w:val="center"/>
      </w:pPr>
      <w:r>
        <w:rPr>
          <w:rFonts w:ascii="Times New Roman" w:cs="Times New Roman" w:eastAsia="Times New Roman" w:hAnsi="Times New Roman"/>
          <w:b w:val="false"/>
          <w:bCs w:val="false"/>
          <w:i w:val="false"/>
          <w:iCs w:val="false"/>
          <w:color w:val="000000"/>
          <w:sz w:val="20"/>
          <w:szCs w:val="20"/>
        </w:rPr>
        <w:t xml:space="preserve">(37 CFR 1.53(c))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Times New Roman" w:cs="Times New Roman" w:eastAsia="Times New Roman" w:hAnsi="Times New Roman"/>
                <w:b/>
                <w:bCs/>
                <w:sz w:val="22"/>
                <w:szCs w:val="22"/>
              </w:rPr>
              <w:t xml:space="preserve">TITLE OF INVENTION:</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Persistent Multi-Layer Correction Training and Post-Generation Verification System for AI-Powered Construction Estimation</w:t>
            </w:r>
          </w:p>
        </w:tc>
      </w:tr>
      <w:tr>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Times New Roman" w:cs="Times New Roman" w:eastAsia="Times New Roman" w:hAnsi="Times New Roman"/>
                <w:b/>
                <w:bCs/>
                <w:sz w:val="22"/>
                <w:szCs w:val="22"/>
              </w:rPr>
              <w:t xml:space="preserve">INVENTOR:</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Dylan Langone</w:t>
            </w:r>
          </w:p>
        </w:tc>
      </w:tr>
      <w:tr>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Times New Roman" w:cs="Times New Roman" w:eastAsia="Times New Roman" w:hAnsi="Times New Roman"/>
                <w:b/>
                <w:bCs/>
                <w:sz w:val="22"/>
                <w:szCs w:val="22"/>
              </w:rPr>
              <w:t xml:space="preserve">RESIDENCE:</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621 Wakefield Rd, West Newfield, ME 04095</w:t>
            </w:r>
          </w:p>
        </w:tc>
      </w:tr>
      <w:tr>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Times New Roman" w:cs="Times New Roman" w:eastAsia="Times New Roman" w:hAnsi="Times New Roman"/>
                <w:b/>
                <w:bCs/>
                <w:sz w:val="22"/>
                <w:szCs w:val="22"/>
              </w:rPr>
              <w:t xml:space="preserve">CITIZENSHIP:</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United States</w:t>
            </w:r>
          </w:p>
        </w:tc>
      </w:tr>
      <w:tr>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Times New Roman" w:cs="Times New Roman" w:eastAsia="Times New Roman" w:hAnsi="Times New Roman"/>
                <w:b/>
                <w:bCs/>
                <w:sz w:val="22"/>
                <w:szCs w:val="22"/>
              </w:rPr>
              <w:t xml:space="preserve">ENTITY STATUS:</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Small Entity (37 CFR 1.27)</w:t>
            </w:r>
          </w:p>
        </w:tc>
      </w:tr>
      <w:tr>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Times New Roman" w:cs="Times New Roman" w:eastAsia="Times New Roman" w:hAnsi="Times New Roman"/>
                <w:b/>
                <w:bCs/>
                <w:sz w:val="22"/>
                <w:szCs w:val="22"/>
              </w:rPr>
              <w:t xml:space="preserve">FILING FEE:</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$130.00 (Small Entity — 37 CFR 1.16(d))</w:t>
            </w:r>
          </w:p>
        </w:tc>
      </w:tr>
      <w:tr>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Times New Roman" w:cs="Times New Roman" w:eastAsia="Times New Roman" w:hAnsi="Times New Roman"/>
                <w:b/>
                <w:bCs/>
                <w:sz w:val="22"/>
                <w:szCs w:val="22"/>
              </w:rPr>
              <w:t xml:space="preserve">DOCKET NO.:</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EAP-2026-001</w:t>
            </w:r>
          </w:p>
        </w:tc>
      </w:tr>
      <w:tr>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Times New Roman" w:cs="Times New Roman" w:eastAsia="Times New Roman" w:hAnsi="Times New Roman"/>
                <w:b/>
                <w:bCs/>
                <w:sz w:val="22"/>
                <w:szCs w:val="22"/>
              </w:rPr>
              <w:t xml:space="preserve">APPLICATION NO.:</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[To be assigned by USPTO]</w:t>
            </w:r>
          </w:p>
        </w:tc>
      </w:tr>
      <w:tr>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Times New Roman" w:cs="Times New Roman" w:eastAsia="Times New Roman" w:hAnsi="Times New Roman"/>
                <w:b/>
                <w:bCs/>
                <w:sz w:val="22"/>
                <w:szCs w:val="22"/>
              </w:rPr>
              <w:t xml:space="preserve">FILING DATE:</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[Date of Filing]</w:t>
            </w:r>
          </w:p>
        </w:tc>
      </w:tr>
    </w:tbl>
    <w:p>
      <w:pPr>
        <w:spacing w:before="0" w:after="30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before="0" w:after="60" w:line="276"/>
        <w:jc w:val="left"/>
      </w:pPr>
      <w:r>
        <w:rPr>
          <w:rFonts w:ascii="Times New Roman" w:cs="Times New Roman" w:eastAsia="Times New Roman" w:hAnsi="Times New Roman"/>
          <w:b/>
          <w:bCs/>
          <w:i w:val="false"/>
          <w:iCs w:val="false"/>
          <w:color w:val="000000"/>
          <w:sz w:val="24"/>
          <w:szCs w:val="24"/>
        </w:rPr>
        <w:t xml:space="preserve">CORRESPONDENCE ADDRESS:</w:t>
      </w:r>
    </w:p>
    <w:p>
      <w:pPr>
        <w:spacing w:before="0" w:after="120" w:line="276"/>
        <w:jc w:val="left"/>
      </w:pPr>
      <w:r>
        <w:rPr>
          <w:rFonts w:ascii="Times New Roman" w:cs="Times New Roman" w:eastAsia="Times New Roman" w:hAnsi="Times New Roman"/>
          <w:b w:val="false"/>
          <w:bCs w:val="false"/>
          <w:i w:val="false"/>
          <w:iCs w:val="false"/>
          <w:color w:val="000000"/>
          <w:sz w:val="24"/>
          <w:szCs w:val="24"/>
        </w:rPr>
        <w:t xml:space="preserve">Dylan Langone</w:t>
      </w:r>
    </w:p>
    <w:p>
      <w:pPr>
        <w:spacing w:before="0" w:after="120" w:line="276"/>
        <w:jc w:val="left"/>
      </w:pPr>
      <w:r>
        <w:rPr>
          <w:rFonts w:ascii="Times New Roman" w:cs="Times New Roman" w:eastAsia="Times New Roman" w:hAnsi="Times New Roman"/>
          <w:b w:val="false"/>
          <w:bCs w:val="false"/>
          <w:i w:val="false"/>
          <w:iCs w:val="false"/>
          <w:color w:val="000000"/>
          <w:sz w:val="24"/>
          <w:szCs w:val="24"/>
        </w:rPr>
        <w:t xml:space="preserve">621 Wakefield Rd</w:t>
      </w:r>
    </w:p>
    <w:p>
      <w:pPr>
        <w:spacing w:before="0" w:after="120" w:line="276"/>
        <w:jc w:val="left"/>
      </w:pPr>
      <w:r>
        <w:rPr>
          <w:rFonts w:ascii="Times New Roman" w:cs="Times New Roman" w:eastAsia="Times New Roman" w:hAnsi="Times New Roman"/>
          <w:b w:val="false"/>
          <w:bCs w:val="false"/>
          <w:i w:val="false"/>
          <w:iCs w:val="false"/>
          <w:color w:val="000000"/>
          <w:sz w:val="24"/>
          <w:szCs w:val="24"/>
        </w:rPr>
        <w:t xml:space="preserve">West Newfield, ME 04095</w:t>
      </w:r>
    </w:p>
    <w:p>
      <w:pPr>
        <w:spacing w:before="0" w:after="300" w:line="276"/>
        <w:jc w:val="left"/>
      </w:pPr>
      <w:r>
        <w:rPr>
          <w:rFonts w:ascii="Times New Roman" w:cs="Times New Roman" w:eastAsia="Times New Roman" w:hAnsi="Times New Roman"/>
          <w:b w:val="false"/>
          <w:bCs w:val="false"/>
          <w:i w:val="false"/>
          <w:iCs w:val="false"/>
          <w:color w:val="000000"/>
          <w:sz w:val="24"/>
          <w:szCs w:val="24"/>
        </w:rPr>
        <w:t xml:space="preserve">United States</w:t>
      </w:r>
    </w:p>
    <w:p>
      <w:pPr>
        <w:spacing w:before="0" w:after="200" w:line="276"/>
        <w:jc w:val="left"/>
      </w:pPr>
      <w:r>
        <w:rPr>
          <w:rFonts w:ascii="Times New Roman" w:cs="Times New Roman" w:eastAsia="Times New Roman" w:hAnsi="Times New Roman"/>
          <w:b/>
          <w:bCs/>
          <w:i w:val="false"/>
          <w:iCs w:val="false"/>
          <w:color w:val="000000"/>
          <w:sz w:val="24"/>
          <w:szCs w:val="24"/>
        </w:rPr>
        <w:t xml:space="preserve">CLASSIFICATION: </w:t>
      </w:r>
      <w:r>
        <w:rPr>
          <w:rFonts w:ascii="Times New Roman" w:cs="Times New Roman" w:eastAsia="Times New Roman" w:hAnsi="Times New Roman"/>
          <w:b w:val="false"/>
          <w:bCs w:val="false"/>
          <w:i w:val="false"/>
          <w:iCs w:val="false"/>
          <w:color w:val="000000"/>
          <w:sz w:val="24"/>
          <w:szCs w:val="24"/>
        </w:rPr>
        <w:t xml:space="preserve">G06N 5/04; G06Q 50/08; G06N 20/00; G06F 40/30</w:t>
      </w:r>
    </w:p>
    <w:p>
      <w:pPr>
        <w:spacing w:before="0" w:after="200" w:line="276"/>
        <w:jc w:val="left"/>
      </w:pPr>
      <w:r>
        <w:rPr>
          <w:rFonts w:ascii="Times New Roman" w:cs="Times New Roman" w:eastAsia="Times New Roman" w:hAnsi="Times New Roman"/>
          <w:b/>
          <w:bCs/>
          <w:i w:val="false"/>
          <w:iCs w:val="false"/>
          <w:color w:val="000000"/>
          <w:sz w:val="24"/>
          <w:szCs w:val="24"/>
        </w:rPr>
        <w:t xml:space="preserve">RELATED APPLICATIONS: </w:t>
      </w:r>
      <w:r>
        <w:rPr>
          <w:rFonts w:ascii="Times New Roman" w:cs="Times New Roman" w:eastAsia="Times New Roman" w:hAnsi="Times New Roman"/>
          <w:b w:val="false"/>
          <w:bCs w:val="false"/>
          <w:i w:val="false"/>
          <w:iCs w:val="false"/>
          <w:color w:val="000000"/>
          <w:sz w:val="24"/>
          <w:szCs w:val="24"/>
        </w:rPr>
        <w:t xml:space="preserve">Co-pending provisional applications EAP-2026-002 through EAP-2026-005, filed concurrently.</w:t>
      </w:r>
    </w:p>
    <w:p>
      <w:pPr>
        <w:spacing w:before="0" w:after="20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before="0" w:after="120" w:line="276"/>
        <w:jc w:val="left"/>
      </w:pPr>
      <w:r>
        <w:rPr>
          <w:rFonts w:ascii="Times New Roman" w:cs="Times New Roman" w:eastAsia="Times New Roman" w:hAnsi="Times New Roman"/>
          <w:b w:val="false"/>
          <w:bCs w:val="false"/>
          <w:i/>
          <w:iCs/>
          <w:color w:val="000000"/>
          <w:sz w:val="20"/>
          <w:szCs w:val="20"/>
        </w:rPr>
        <w:t xml:space="preserve">This application claims the benefit of the filing date under 35 U.S.C. 111(b).</w:t>
      </w:r>
    </w:p>
    <w:p>
      <w:r>
        <w:br w:type="page"/>
      </w:r>
    </w:p>
    <w:p>
      <w:pPr>
        <w:spacing w:before="360" w:after="240" w:line="480"/>
        <w:jc w:val="center"/>
      </w:pPr>
      <w:r>
        <w:rPr>
          <w:rFonts w:ascii="Times New Roman" w:cs="Times New Roman" w:eastAsia="Times New Roman" w:hAnsi="Times New Roman"/>
          <w:b/>
          <w:bCs/>
          <w:sz w:val="24"/>
          <w:szCs w:val="24"/>
          <w:u w:val="single"/>
        </w:rPr>
        <w:t xml:space="preserve">SPECIFICATION</w:t>
      </w:r>
    </w:p>
    <w:p>
      <w:pPr>
        <w:spacing w:before="0" w:after="300" w:line="480"/>
        <w:jc w:val="center"/>
      </w:pPr>
      <w:r>
        <w:rPr>
          <w:rFonts w:ascii="Times New Roman" w:cs="Times New Roman" w:eastAsia="Times New Roman" w:hAnsi="Times New Roman"/>
          <w:b/>
          <w:bCs/>
          <w:i w:val="false"/>
          <w:iCs w:val="false"/>
          <w:color w:val="000000"/>
          <w:sz w:val="24"/>
          <w:szCs w:val="24"/>
        </w:rPr>
        <w:t xml:space="preserve">Persistent Multi-Layer Correction Training and Post-Generation Verification System for AI-Powered Construction Estimation</w:t>
      </w:r>
    </w:p>
    <w:p>
      <w:pPr>
        <w:spacing w:before="360" w:after="240" w:line="480"/>
      </w:pPr>
      <w:r>
        <w:rPr>
          <w:rFonts w:ascii="Times New Roman" w:cs="Times New Roman" w:eastAsia="Times New Roman" w:hAnsi="Times New Roman"/>
          <w:b/>
          <w:bCs/>
          <w:sz w:val="24"/>
          <w:szCs w:val="24"/>
        </w:rPr>
        <w:t xml:space="preserve">CROSS-REFERENCE TO RELATED APPLICATIONS</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This application is related to co-pending provisional patent applications filed concurrently herewith by the same inventor, including applications directed to a Supplier Invoice Intelligence System, an AI-Generated Branded Document Template Design System, an AI-Generated Multi-Section Construction Proposal Engine, and an Integrated Contractor Intelligence Center, the disclosures of which are incorporated herein by reference in their entirety.</w:t>
      </w:r>
    </w:p>
    <w:p>
      <w:pPr>
        <w:spacing w:before="360" w:after="240" w:line="480"/>
      </w:pPr>
      <w:r>
        <w:rPr>
          <w:rFonts w:ascii="Times New Roman" w:cs="Times New Roman" w:eastAsia="Times New Roman" w:hAnsi="Times New Roman"/>
          <w:b/>
          <w:bCs/>
          <w:sz w:val="24"/>
          <w:szCs w:val="24"/>
        </w:rPr>
        <w:t xml:space="preserve">FIELD OF THE INVENTION</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The present invention relates generally to artificial intelligence systems for construction cost estimation, and more particularly to a system and method for permanently encoding human expert corrections into AI estimation models through a multi-layer rule injection framework with post-generation contradiction detection and automated correction, including trade-contextualized prompt personalization.</w:t>
      </w:r>
    </w:p>
    <w:p>
      <w:pPr>
        <w:spacing w:before="360" w:after="240" w:line="480"/>
      </w:pPr>
      <w:r>
        <w:rPr>
          <w:rFonts w:ascii="Times New Roman" w:cs="Times New Roman" w:eastAsia="Times New Roman" w:hAnsi="Times New Roman"/>
          <w:b/>
          <w:bCs/>
          <w:sz w:val="24"/>
          <w:szCs w:val="24"/>
        </w:rPr>
        <w:t xml:space="preserve">BACKGROUND OF THE INVENTION</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Artificial intelligence systems applied to construction cost estimation suffer from a fundamental limitation: stateless operation. Each estimation request is processed independently with no memory of previous errors, corrections, or domain-specific lessons learned. When such a system generates an estimate containing a logical contradiction—for example, including a drilled well as a line item while simultaneously listing municipal water supply as an assumption—the user must manually identify and correct the error. On the next request, the AI system may repeat the identical mistake because it possesses no mechanism to retain corrections between sessions.</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Current approaches to improving AI output quality in estimation contexts rely primarily on prompt engineering: modifying the system prompt based on observed failure modes. This approach suffers from several critical limitations. First, it requires developer intervention for every correction, creating a bottleneck where domain experts cannot teach the system directly. Second, it does not scale to thousands of domain-specific rules across dozens of construction trades. Third, it cannot adapt to individual contractor preferences regarding pricing, categorization, and regional practices. Fourth, it provides no automated verification that the AI output actually complies with previously learned rules.</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Published patent application US20170323319A1 discloses an AI-based cost estimation system that allows an AI algorithm to learn from human corrections. However, this system lacks: (a) a hierarchical multi-layer rule architecture distinguishing between universal rules, trade-specific knowledge, and per-user corrections with priority ordering; (b) a post-generation consistency engine that cross-references AI output against explicit scope items to detect contradictions before display to the user; (c) an automatic correction module that remediates critical violations without human intervention; and (d) a cross-user pattern detection system that identifies emergent correction patterns and promotes them to universal rules.</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Furthermore, existing AI estimation platforms treat all contractors identically regardless of their trade specialty. A plumber and a general contractor receive identical interfaces, sample content, and AI behavior. No existing system dynamically adapts AI estimation behavior based on the contractor’s declared trade specialty by contextualizing both the prompt construction and the rule application to the contractor’s domain.</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Additionally, no existing system provides a mechanism for systematically validating AI estimation prompts against standardized construction test suites to prevent quality regressions when prompts are modified.</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Accordingly, there exists a need for a persistent, hierarchical training framework that allows non-technical domain experts to teach the AI, automatically verifies compliance before output delivery, corrects critical violations automatically, detects emergent patterns across users, contextualizes behavior by trade specialty, and validates prompt changes against baseline test cases.</w:t>
      </w:r>
    </w:p>
    <w:p>
      <w:pPr>
        <w:spacing w:before="360" w:after="240" w:line="480"/>
      </w:pPr>
      <w:r>
        <w:rPr>
          <w:rFonts w:ascii="Times New Roman" w:cs="Times New Roman" w:eastAsia="Times New Roman" w:hAnsi="Times New Roman"/>
          <w:b/>
          <w:bCs/>
          <w:sz w:val="24"/>
          <w:szCs w:val="24"/>
        </w:rPr>
        <w:t xml:space="preserve">BRIEF SUMMARY OF THE INVENTION</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The present invention provides a computer-implemented system and method for creating a persistent, multi-layered training and verification framework for AI-powered construction estimation. The system comprises a post-generation Consistency Engine that performs cross-referential verification of every AI estimation output against explicit scope items, stored training rules, and internal logical coherence before display to any user. An Auto-Fix module automatically corrects critical violations by resubmitting non-compliant output to the AI model with explicit correction instructions and re-validating the corrected result.</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The system further comprises a three-tier hierarchical rule storage architecture: (1) Global Training Rules at the highest priority level that apply universally and cannot be overridden; (2) Trade Knowledge Base entries organized by construction trade, project type, and geographic region; and (3) User-Specific Corrections derived from individual contractor edit pattern analysis. A Dynamic Prompt Injector retrieves all applicable rules based on keyword matching and priority ordering and injects them into the AI system prompt before each estimation call.</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An Auto-Learner module monitors user edit patterns across the entire platform, classifies each edit as a correction, preference, or scope change, automatically generates persistent correction rules from high-confidence corrections, and detects when multiple distinct users make the same type of correction to surface candidates for promotion to universal Global Rules.</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The system further comprises a trade-contextualization layer that personalizes AI estimation behavior based on the contractor’s declared trade specialties, injecting trade context into every AI call and adapting category schemas and sample content to the contractor’s domain. A prompt validation subsystem enables batch testing of AI prompts against standardized construction test suites to prevent quality regressions.</w:t>
      </w:r>
    </w:p>
    <w:p>
      <w:pPr>
        <w:spacing w:before="360" w:after="240" w:line="480"/>
      </w:pPr>
      <w:r>
        <w:rPr>
          <w:rFonts w:ascii="Times New Roman" w:cs="Times New Roman" w:eastAsia="Times New Roman" w:hAnsi="Times New Roman"/>
          <w:b/>
          <w:bCs/>
          <w:sz w:val="24"/>
          <w:szCs w:val="24"/>
        </w:rPr>
        <w:t xml:space="preserve">DETAILED DESCRIPTION OF PREFERRED EMBODIMENTS</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The following detailed description sets forth the preferred embodiments of the present invention. It should be understood that the description is illustrative and not restrictive in nature.</w:t>
      </w:r>
    </w:p>
    <w:p>
      <w:pPr>
        <w:spacing w:before="240" w:after="120" w:line="480"/>
      </w:pPr>
      <w:r>
        <w:rPr>
          <w:rFonts w:ascii="Times New Roman" w:cs="Times New Roman" w:eastAsia="Times New Roman" w:hAnsi="Times New Roman"/>
          <w:b/>
          <w:bCs/>
          <w:i/>
          <w:iCs/>
          <w:sz w:val="24"/>
          <w:szCs w:val="24"/>
        </w:rPr>
        <w:t xml:space="preserve">1. System Architecture Overview</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The system architecture comprises seven primary modules and two supplementary subsystems operating in a defined pipeline: (1) Quick Teach Interface, (2) Multi-Layer Rule Storage, (3) Dynamic Prompt Injector, (4) AI Estimation Engine, (5) Consistency Engine, (6) Auto-Fix Module, (7) Auto-Learner, supplemented by (8) Trade Contextualization Subsystem and (9) Prompt Validation Subsystem. The critical inventive step resides in modules 5-7: the post-generation verification pipeline that operates between AI output generation and user display.</w:t>
      </w:r>
    </w:p>
    <w:p>
      <w:pPr>
        <w:spacing w:before="240" w:after="120" w:line="480"/>
      </w:pPr>
      <w:r>
        <w:rPr>
          <w:rFonts w:ascii="Times New Roman" w:cs="Times New Roman" w:eastAsia="Times New Roman" w:hAnsi="Times New Roman"/>
          <w:b/>
          <w:bCs/>
          <w:i/>
          <w:iCs/>
          <w:sz w:val="24"/>
          <w:szCs w:val="24"/>
        </w:rPr>
        <w:t xml:space="preserve">2. Post-Generation Consistency Engine (Module 5)</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The Consistency Engine is the core inventive element of the present system. After the AI Estimation Engine generates output but before any result is displayed to the user, the Consistency Engine performs a multi-phase verification process comprising:</w:t>
      </w:r>
    </w:p>
    <w:p>
      <w:pPr>
        <w:spacing w:before="0" w:after="120" w:line="480"/>
        <w:ind w:left="360"/>
        <w:jc w:val="left"/>
      </w:pPr>
      <w:r>
        <w:rPr>
          <w:rFonts w:ascii="Times New Roman" w:cs="Times New Roman" w:eastAsia="Times New Roman" w:hAnsi="Times New Roman"/>
          <w:b w:val="false"/>
          <w:bCs w:val="false"/>
          <w:i w:val="false"/>
          <w:iCs w:val="false"/>
          <w:color w:val="000000"/>
          <w:sz w:val="24"/>
          <w:szCs w:val="24"/>
        </w:rPr>
        <w:t xml:space="preserve">Phase 1 — Scope Extraction: The engine parses the original user project description to extract explicit scope items as immutable facts. For example, from the description “1,344 sq ft house with 300’ drilled well and 3-bedroom septic system,” the engine extracts: {water_source: “drilled_well”, wastewater: “septic_system”, size_sqft: 1344}. These extracted facts cannot be contradicted by the AI output.</w:t>
      </w:r>
    </w:p>
    <w:p>
      <w:pPr>
        <w:spacing w:before="0" w:after="120" w:line="480"/>
        <w:ind w:left="360"/>
        <w:jc w:val="left"/>
      </w:pPr>
      <w:r>
        <w:rPr>
          <w:rFonts w:ascii="Times New Roman" w:cs="Times New Roman" w:eastAsia="Times New Roman" w:hAnsi="Times New Roman"/>
          <w:b w:val="false"/>
          <w:bCs w:val="false"/>
          <w:i w:val="false"/>
          <w:iCs w:val="false"/>
          <w:color w:val="000000"/>
          <w:sz w:val="24"/>
          <w:szCs w:val="24"/>
        </w:rPr>
        <w:t xml:space="preserve">Phase 2 — Assumption Parsing: The engine parses every assumption listed in the AI-generated estimate output, converting natural language assumptions into structured key-value pairs.</w:t>
      </w:r>
    </w:p>
    <w:p>
      <w:pPr>
        <w:spacing w:before="0" w:after="120" w:line="480"/>
        <w:ind w:left="360"/>
        <w:jc w:val="left"/>
      </w:pPr>
      <w:r>
        <w:rPr>
          <w:rFonts w:ascii="Times New Roman" w:cs="Times New Roman" w:eastAsia="Times New Roman" w:hAnsi="Times New Roman"/>
          <w:b w:val="false"/>
          <w:bCs w:val="false"/>
          <w:i w:val="false"/>
          <w:iCs w:val="false"/>
          <w:color w:val="000000"/>
          <w:sz w:val="24"/>
          <w:szCs w:val="24"/>
        </w:rPr>
        <w:t xml:space="preserve">Phase 3 — Cross-Referential Contradiction Detection: Each parsed assumption is compared against each extracted scope fact using both (a) regular expression pattern matching for known contradiction patterns (e.g., scope contains “drilled_well” but assumption contains “municipal water”) and (b) AI-powered semantic analysis for novel contradiction patterns not captured by regex rules. The dual-check approach ensures both speed (regex) and comprehensiveness (semantic analysis).</w:t>
      </w:r>
    </w:p>
    <w:p>
      <w:pPr>
        <w:spacing w:before="0" w:after="120" w:line="480"/>
        <w:ind w:left="360"/>
        <w:jc w:val="left"/>
      </w:pPr>
      <w:r>
        <w:rPr>
          <w:rFonts w:ascii="Times New Roman" w:cs="Times New Roman" w:eastAsia="Times New Roman" w:hAnsi="Times New Roman"/>
          <w:b w:val="false"/>
          <w:bCs w:val="false"/>
          <w:i w:val="false"/>
          <w:iCs w:val="false"/>
          <w:color w:val="000000"/>
          <w:sz w:val="24"/>
          <w:szCs w:val="24"/>
        </w:rPr>
        <w:t xml:space="preserve">Phase 4 — Line Item Coherence Validation: Every generated line item is validated against both the extracted scope facts and the stated assumptions. For example, if the assumption states “municipal water” but a line item for “well drilling” appears, this constitutes a line-item-to-assumption incoherence.</w:t>
      </w:r>
    </w:p>
    <w:p>
      <w:pPr>
        <w:spacing w:before="0" w:after="120" w:line="480"/>
        <w:ind w:left="360"/>
        <w:jc w:val="left"/>
      </w:pPr>
      <w:r>
        <w:rPr>
          <w:rFonts w:ascii="Times New Roman" w:cs="Times New Roman" w:eastAsia="Times New Roman" w:hAnsi="Times New Roman"/>
          <w:b w:val="false"/>
          <w:bCs w:val="false"/>
          <w:i w:val="false"/>
          <w:iCs w:val="false"/>
          <w:color w:val="000000"/>
          <w:sz w:val="24"/>
          <w:szCs w:val="24"/>
        </w:rPr>
        <w:t xml:space="preserve">Phase 5 — Training Rule Compliance: All triggered training rules from the Multi-Layer Rule Storage are checked against the generated output. Rules with priority 90+ trigger mandatory compliance checks.</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Each detected issue is classified by severity: CRITICAL (logical contradiction between scope and output), WARNING (potential inconsistency requiring review), or INFO (suggestion for improvement). Critical violations trigger the Auto-Fix Module automatically.</w:t>
      </w:r>
    </w:p>
    <w:p>
      <w:pPr>
        <w:spacing w:before="240" w:after="120" w:line="480"/>
      </w:pPr>
      <w:r>
        <w:rPr>
          <w:rFonts w:ascii="Times New Roman" w:cs="Times New Roman" w:eastAsia="Times New Roman" w:hAnsi="Times New Roman"/>
          <w:b/>
          <w:bCs/>
          <w:i/>
          <w:iCs/>
          <w:sz w:val="24"/>
          <w:szCs w:val="24"/>
        </w:rPr>
        <w:t xml:space="preserve">3. Auto-Fix Module (Module 6)</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When the Consistency Engine detects one or more CRITICAL violations, the Auto-Fix Module performs automated remediation through the following process:</w:t>
      </w:r>
    </w:p>
    <w:p>
      <w:pPr>
        <w:spacing w:before="0" w:after="120" w:line="480"/>
        <w:ind w:left="360"/>
        <w:jc w:val="left"/>
      </w:pPr>
      <w:r>
        <w:rPr>
          <w:rFonts w:ascii="Times New Roman" w:cs="Times New Roman" w:eastAsia="Times New Roman" w:hAnsi="Times New Roman"/>
          <w:b w:val="false"/>
          <w:bCs w:val="false"/>
          <w:i w:val="false"/>
          <w:iCs w:val="false"/>
          <w:color w:val="000000"/>
          <w:sz w:val="24"/>
          <w:szCs w:val="24"/>
        </w:rPr>
        <w:t xml:space="preserve">Step 1: The original AI output, the list of detected violations with specific descriptions, and explicit correction instructions are assembled into a remediation prompt.</w:t>
      </w:r>
    </w:p>
    <w:p>
      <w:pPr>
        <w:spacing w:before="0" w:after="120" w:line="480"/>
        <w:ind w:left="360"/>
        <w:jc w:val="left"/>
      </w:pPr>
      <w:r>
        <w:rPr>
          <w:rFonts w:ascii="Times New Roman" w:cs="Times New Roman" w:eastAsia="Times New Roman" w:hAnsi="Times New Roman"/>
          <w:b w:val="false"/>
          <w:bCs w:val="false"/>
          <w:i w:val="false"/>
          <w:iCs w:val="false"/>
          <w:color w:val="000000"/>
          <w:sz w:val="24"/>
          <w:szCs w:val="24"/>
        </w:rPr>
        <w:t xml:space="preserve">Step 2: The remediation prompt is submitted to the AI model, instructing it to correct only the identified violations while preserving all non-violating content.</w:t>
      </w:r>
    </w:p>
    <w:p>
      <w:pPr>
        <w:spacing w:before="0" w:after="120" w:line="480"/>
        <w:ind w:left="360"/>
        <w:jc w:val="left"/>
      </w:pPr>
      <w:r>
        <w:rPr>
          <w:rFonts w:ascii="Times New Roman" w:cs="Times New Roman" w:eastAsia="Times New Roman" w:hAnsi="Times New Roman"/>
          <w:b w:val="false"/>
          <w:bCs w:val="false"/>
          <w:i w:val="false"/>
          <w:iCs w:val="false"/>
          <w:color w:val="000000"/>
          <w:sz w:val="24"/>
          <w:szCs w:val="24"/>
        </w:rPr>
        <w:t xml:space="preserve">Step 3: The corrected output is re-submitted to the Consistency Engine for verification. If violations persist, the process repeats up to a maximum of three iterations.</w:t>
      </w:r>
    </w:p>
    <w:p>
      <w:pPr>
        <w:spacing w:before="0" w:after="120" w:line="480"/>
        <w:ind w:left="360"/>
        <w:jc w:val="left"/>
      </w:pPr>
      <w:r>
        <w:rPr>
          <w:rFonts w:ascii="Times New Roman" w:cs="Times New Roman" w:eastAsia="Times New Roman" w:hAnsi="Times New Roman"/>
          <w:b w:val="false"/>
          <w:bCs w:val="false"/>
          <w:i w:val="false"/>
          <w:iCs w:val="false"/>
          <w:color w:val="000000"/>
          <w:sz w:val="24"/>
          <w:szCs w:val="24"/>
        </w:rPr>
        <w:t xml:space="preserve">Step 4: If after three iterations critical violations remain, the output is delivered to the user with visual annotations identifying the remaining issues for manual review.</w:t>
      </w:r>
    </w:p>
    <w:p>
      <w:pPr>
        <w:spacing w:before="240" w:after="120" w:line="480"/>
      </w:pPr>
      <w:r>
        <w:rPr>
          <w:rFonts w:ascii="Times New Roman" w:cs="Times New Roman" w:eastAsia="Times New Roman" w:hAnsi="Times New Roman"/>
          <w:b/>
          <w:bCs/>
          <w:i/>
          <w:iCs/>
          <w:sz w:val="24"/>
          <w:szCs w:val="24"/>
        </w:rPr>
        <w:t xml:space="preserve">4. Auto-Learner Module (Module 7)</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The Auto-Learner module operates continuously across the entire platform, monitoring all user interactions with generated estimates. The module performs the following functions:</w:t>
      </w:r>
    </w:p>
    <w:p>
      <w:pPr>
        <w:spacing w:before="0" w:after="120" w:line="480"/>
        <w:ind w:left="360"/>
        <w:jc w:val="left"/>
      </w:pPr>
      <w:r>
        <w:rPr>
          <w:rFonts w:ascii="Times New Roman" w:cs="Times New Roman" w:eastAsia="Times New Roman" w:hAnsi="Times New Roman"/>
          <w:b w:val="false"/>
          <w:bCs w:val="false"/>
          <w:i w:val="false"/>
          <w:iCs w:val="false"/>
          <w:color w:val="000000"/>
          <w:sz w:val="24"/>
          <w:szCs w:val="24"/>
        </w:rPr>
        <w:t xml:space="preserve">Edit Classification: Each user edit to a generated estimate is analyzed and classified into one of three categories: (a) CORRECTION — the user is fixing an AI factual error (e.g., changing a material type, removing an impossible line item); (b) PREFERENCE — the user is adjusting to personal style (e.g., renaming a category, changing markup percentage); (c) SCOPE_CHANGE — the user is modifying the project requirements (e.g., adding rooms, changing specifications). Classification is performed using a combination of edit magnitude analysis, semantic comparison between original and edited values, and historical pattern matching.</w:t>
      </w:r>
    </w:p>
    <w:p>
      <w:pPr>
        <w:spacing w:before="0" w:after="120" w:line="480"/>
        <w:ind w:left="360"/>
        <w:jc w:val="left"/>
      </w:pPr>
      <w:r>
        <w:rPr>
          <w:rFonts w:ascii="Times New Roman" w:cs="Times New Roman" w:eastAsia="Times New Roman" w:hAnsi="Times New Roman"/>
          <w:b w:val="false"/>
          <w:bCs w:val="false"/>
          <w:i w:val="false"/>
          <w:iCs w:val="false"/>
          <w:color w:val="000000"/>
          <w:sz w:val="24"/>
          <w:szCs w:val="24"/>
        </w:rPr>
        <w:t xml:space="preserve">Automatic Rule Generation: When an edit is classified as CORRECTION with confidence greater than 0.7, the system automatically generates a User-Specific Correction rule that will apply to all future estimates for that contractor.</w:t>
      </w:r>
    </w:p>
    <w:p>
      <w:pPr>
        <w:spacing w:before="0" w:after="120" w:line="480"/>
        <w:ind w:left="360"/>
        <w:jc w:val="left"/>
      </w:pPr>
      <w:r>
        <w:rPr>
          <w:rFonts w:ascii="Times New Roman" w:cs="Times New Roman" w:eastAsia="Times New Roman" w:hAnsi="Times New Roman"/>
          <w:b w:val="false"/>
          <w:bCs w:val="false"/>
          <w:i w:val="false"/>
          <w:iCs w:val="false"/>
          <w:color w:val="000000"/>
          <w:sz w:val="24"/>
          <w:szCs w:val="24"/>
        </w:rPr>
        <w:t xml:space="preserve">Cross-User Pattern Detection: When three or more distinct users independently make the same type of correction (determined by semantic similarity of the correction pattern), the system flags the pattern for promotion to a Global Rule. A human administrator reviews the flagged pattern and either approves promotion (creating a new Global Rule at priority 80+) or dismisses it.</w:t>
      </w:r>
    </w:p>
    <w:p>
      <w:pPr>
        <w:spacing w:before="0" w:after="120" w:line="480"/>
        <w:ind w:left="360"/>
        <w:jc w:val="left"/>
      </w:pPr>
      <w:r>
        <w:rPr>
          <w:rFonts w:ascii="Times New Roman" w:cs="Times New Roman" w:eastAsia="Times New Roman" w:hAnsi="Times New Roman"/>
          <w:b w:val="false"/>
          <w:bCs w:val="false"/>
          <w:i w:val="false"/>
          <w:iCs w:val="false"/>
          <w:color w:val="000000"/>
          <w:sz w:val="24"/>
          <w:szCs w:val="24"/>
        </w:rPr>
        <w:t xml:space="preserve">Emergent Rule Suggestion: The system maintains a running analysis of correction frequency by category, trade, and geographic region. When correction frequency for a specific pattern exceeds a configurable threshold (default: 15% of estimates in a trade category), the system generates a suggested rule with supporting statistics and presents it to the system administrator.</w:t>
      </w:r>
    </w:p>
    <w:p>
      <w:pPr>
        <w:spacing w:before="240" w:after="120" w:line="480"/>
      </w:pPr>
      <w:r>
        <w:rPr>
          <w:rFonts w:ascii="Times New Roman" w:cs="Times New Roman" w:eastAsia="Times New Roman" w:hAnsi="Times New Roman"/>
          <w:b/>
          <w:bCs/>
          <w:i/>
          <w:iCs/>
          <w:sz w:val="24"/>
          <w:szCs w:val="24"/>
        </w:rPr>
        <w:t xml:space="preserve">5. Quick Teach Interface (Module 1)</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The Quick Teach Interface provides a natural language input mechanism whereby a domain expert describes a problem encountered in AI output and the correct behavior. The description is processed through an AI meta-layer that generates: (a) a structured Primary Rule expressed as IF/WHEN conditions paired with ALWAYS/NEVER actions; (b) trigger keywords for automatic activation during prompt injection; (c) related rules inferred by identifying the logical pattern underlying the primary correction and applying said pattern to analogous domain scenarios; (d) trade knowledge entries encoding the underlying domain facts; and (e) a test case for verification consisting of a sample input and expected output behavior.</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Example: An expert enters: “When someone says they have a drilled well, the AI should never include municipal water hookup costs. Also, well drilling means we need a pressure tank and well pump.” The system generates:</w:t>
      </w:r>
    </w:p>
    <w:p>
      <w:pPr>
        <w:spacing w:before="0" w:after="120" w:line="480"/>
        <w:ind w:left="720"/>
        <w:jc w:val="left"/>
      </w:pPr>
      <w:r>
        <w:rPr>
          <w:rFonts w:ascii="Times New Roman" w:cs="Times New Roman" w:eastAsia="Times New Roman" w:hAnsi="Times New Roman"/>
          <w:b w:val="false"/>
          <w:bCs w:val="false"/>
          <w:i w:val="false"/>
          <w:iCs w:val="false"/>
          <w:color w:val="000000"/>
          <w:sz w:val="24"/>
          <w:szCs w:val="24"/>
        </w:rPr>
        <w:t xml:space="preserve">Primary Rule: IF project_description CONTAINS [“drilled well”, “well drilling”, “artesian well”] THEN NEVER include [municipal water hookup, city water connection, water meter installation] AND ALWAYS include [pressure tank, well pump, well cap, pitless adapter].</w:t>
      </w:r>
    </w:p>
    <w:p>
      <w:pPr>
        <w:spacing w:before="0" w:after="120" w:line="480"/>
        <w:ind w:left="720"/>
        <w:jc w:val="left"/>
      </w:pPr>
      <w:r>
        <w:rPr>
          <w:rFonts w:ascii="Times New Roman" w:cs="Times New Roman" w:eastAsia="Times New Roman" w:hAnsi="Times New Roman"/>
          <w:b w:val="false"/>
          <w:bCs w:val="false"/>
          <w:i w:val="false"/>
          <w:iCs w:val="false"/>
          <w:color w:val="000000"/>
          <w:sz w:val="24"/>
          <w:szCs w:val="24"/>
        </w:rPr>
        <w:t xml:space="preserve">Related Rule (inferred): IF project_description CONTAINS [“septic system”, “septic tank”] THEN NEVER include [sewer connection, municipal sewer hookup, sewer tap fee].</w:t>
      </w:r>
    </w:p>
    <w:p>
      <w:pPr>
        <w:spacing w:before="0" w:after="120" w:line="480"/>
        <w:ind w:left="720"/>
        <w:jc w:val="left"/>
      </w:pPr>
      <w:r>
        <w:rPr>
          <w:rFonts w:ascii="Times New Roman" w:cs="Times New Roman" w:eastAsia="Times New Roman" w:hAnsi="Times New Roman"/>
          <w:b w:val="false"/>
          <w:bCs w:val="false"/>
          <w:i w:val="false"/>
          <w:iCs w:val="false"/>
          <w:color w:val="000000"/>
          <w:sz w:val="24"/>
          <w:szCs w:val="24"/>
        </w:rPr>
        <w:t xml:space="preserve">Trigger Keywords: drilled well, well drilling, artesian well, water well.</w:t>
      </w:r>
    </w:p>
    <w:p>
      <w:pPr>
        <w:spacing w:before="240" w:after="120" w:line="480"/>
      </w:pPr>
      <w:r>
        <w:rPr>
          <w:rFonts w:ascii="Times New Roman" w:cs="Times New Roman" w:eastAsia="Times New Roman" w:hAnsi="Times New Roman"/>
          <w:b/>
          <w:bCs/>
          <w:i/>
          <w:iCs/>
          <w:sz w:val="24"/>
          <w:szCs w:val="24"/>
        </w:rPr>
        <w:t xml:space="preserve">6. Multi-Layer Rule Storage (Module 2)</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Rules are stored in a three-tier hierarchical database with the following characteristics:</w:t>
      </w:r>
    </w:p>
    <w:p>
      <w:pPr>
        <w:spacing w:before="0" w:after="120" w:line="480"/>
        <w:ind w:left="360"/>
        <w:jc w:val="left"/>
      </w:pPr>
      <w:r>
        <w:rPr>
          <w:rFonts w:ascii="Times New Roman" w:cs="Times New Roman" w:eastAsia="Times New Roman" w:hAnsi="Times New Roman"/>
          <w:b w:val="false"/>
          <w:bCs w:val="false"/>
          <w:i w:val="false"/>
          <w:iCs w:val="false"/>
          <w:color w:val="000000"/>
          <w:sz w:val="24"/>
          <w:szCs w:val="24"/>
        </w:rPr>
        <w:t xml:space="preserve">Layer 1 — Global Rules (Priority 80-100): Founder-defined, universal rules that inject into every AI estimation call. These rules encode fundamental construction domain knowledge and critical business logic. Examples include: “Well drilling excludes municipal water” (priority 95), “Septic excludes public sewer” (priority 95), “Turnkey projects require all trade categories” (priority 90). Global Rules cannot be overridden by lower-priority rules.</w:t>
      </w:r>
    </w:p>
    <w:p>
      <w:pPr>
        <w:spacing w:before="0" w:after="120" w:line="480"/>
        <w:ind w:left="360"/>
        <w:jc w:val="left"/>
      </w:pPr>
      <w:r>
        <w:rPr>
          <w:rFonts w:ascii="Times New Roman" w:cs="Times New Roman" w:eastAsia="Times New Roman" w:hAnsi="Times New Roman"/>
          <w:b w:val="false"/>
          <w:bCs w:val="false"/>
          <w:i w:val="false"/>
          <w:iCs w:val="false"/>
          <w:color w:val="000000"/>
          <w:sz w:val="24"/>
          <w:szCs w:val="24"/>
        </w:rPr>
        <w:t xml:space="preserve">Layer 2 — Trade Knowledge Base (Priority 40-79): Domain expertise organized by trade specialty, project type, and geographic region. These rules surface contextually based on keyword matching between the incoming project description and stored trigger keywords. Example: For the Plumbing trade in the Northeast region: “Include freeze protection for exposed pipes when project is in climate zone 5 or higher.”</w:t>
      </w:r>
    </w:p>
    <w:p>
      <w:pPr>
        <w:spacing w:before="0" w:after="120" w:line="480"/>
        <w:ind w:left="360"/>
        <w:jc w:val="left"/>
      </w:pPr>
      <w:r>
        <w:rPr>
          <w:rFonts w:ascii="Times New Roman" w:cs="Times New Roman" w:eastAsia="Times New Roman" w:hAnsi="Times New Roman"/>
          <w:b w:val="false"/>
          <w:bCs w:val="false"/>
          <w:i w:val="false"/>
          <w:iCs w:val="false"/>
          <w:color w:val="000000"/>
          <w:sz w:val="24"/>
          <w:szCs w:val="24"/>
        </w:rPr>
        <w:t xml:space="preserve">Layer 3 — User-Specific Corrections (Priority 1-39): Per-contractor learned preferences derived from the Auto-Learner module’s analysis of edit patterns. These rules reflect individual contractor pricing preferences, preferred material brands, typical markup percentages, and categorization preferences.</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When multiple rules conflict, the higher-priority rule prevails. Within the same priority level, the more recently created rule prevails.</w:t>
      </w:r>
    </w:p>
    <w:p>
      <w:pPr>
        <w:spacing w:before="240" w:after="120" w:line="480"/>
      </w:pPr>
      <w:r>
        <w:rPr>
          <w:rFonts w:ascii="Times New Roman" w:cs="Times New Roman" w:eastAsia="Times New Roman" w:hAnsi="Times New Roman"/>
          <w:b/>
          <w:bCs/>
          <w:i/>
          <w:iCs/>
          <w:sz w:val="24"/>
          <w:szCs w:val="24"/>
        </w:rPr>
        <w:t xml:space="preserve">7. Dynamic Prompt Injector (Module 3)</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Before every AI estimation call, the Dynamic Prompt Injector executes the following process: (a) scans the incoming project description for trigger keywords; (b) queries all three rule layers for rules matching the detected keywords; (c) retrieves all rules with priority 90+ regardless of keyword matching (always-inject rules); (d) orders retrieved rules by priority (highest first); (e) formats rules into a structured injection block; and (f) prepends the injection block to the AI system prompt. The injected rules are formatted as explicit constraints that the AI model must follow, using imperative language such as “YOU MUST” and “NEVER INCLUDE.”</w:t>
      </w:r>
    </w:p>
    <w:p>
      <w:pPr>
        <w:spacing w:before="240" w:after="120" w:line="480"/>
      </w:pPr>
      <w:r>
        <w:rPr>
          <w:rFonts w:ascii="Times New Roman" w:cs="Times New Roman" w:eastAsia="Times New Roman" w:hAnsi="Times New Roman"/>
          <w:b/>
          <w:bCs/>
          <w:i/>
          <w:iCs/>
          <w:sz w:val="24"/>
          <w:szCs w:val="24"/>
        </w:rPr>
        <w:t xml:space="preserve">8. Trade Contextualization Subsystem</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During onboarding, the user selects one or more trade specialties from a predefined taxonomy of 15+ construction trades including General Contractor/Builder, Plumbing, Electrical, HVAC, Roofing, Painting, Carpentry/Framing, Concrete/Masonry, Landscaping/Excavation, Remodeling/Renovation, Flooring/Tile, Commercial Construction, Windows/Doors, Siding/Exterior, and Other.</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This trade selection drives three personalization systems:</w:t>
      </w:r>
    </w:p>
    <w:p>
      <w:pPr>
        <w:spacing w:before="0" w:after="120" w:line="480"/>
        <w:ind w:left="360"/>
        <w:jc w:val="left"/>
      </w:pPr>
      <w:r>
        <w:rPr>
          <w:rFonts w:ascii="Times New Roman" w:cs="Times New Roman" w:eastAsia="Times New Roman" w:hAnsi="Times New Roman"/>
          <w:b w:val="false"/>
          <w:bCs w:val="false"/>
          <w:i w:val="false"/>
          <w:iCs w:val="false"/>
          <w:color w:val="000000"/>
          <w:sz w:val="24"/>
          <w:szCs w:val="24"/>
        </w:rPr>
        <w:t xml:space="preserve">Trade-Contextualized AI Injection: The user’s trade selections are injected into every AI estimation system prompt, causing the estimation model to weight categories, line items, and pricing specificity relevant to the user’s specialty. For multi-trade users, all selected trades are included.</w:t>
      </w:r>
    </w:p>
    <w:p>
      <w:pPr>
        <w:spacing w:before="0" w:after="120" w:line="480"/>
        <w:ind w:left="360"/>
        <w:jc w:val="left"/>
      </w:pPr>
      <w:r>
        <w:rPr>
          <w:rFonts w:ascii="Times New Roman" w:cs="Times New Roman" w:eastAsia="Times New Roman" w:hAnsi="Times New Roman"/>
          <w:b w:val="false"/>
          <w:bCs w:val="false"/>
          <w:i w:val="false"/>
          <w:iCs w:val="false"/>
          <w:color w:val="000000"/>
          <w:sz w:val="24"/>
          <w:szCs w:val="24"/>
        </w:rPr>
        <w:t xml:space="preserve">Trade-Specific Category Schema: Each trade maps to a predefined set of relevant work categories that determine how line items are organized and which categories the AI prioritizes. A plumber’s estimates emphasize plumbing-specific categories while a roofer’s estimates emphasize roofing-specific categories.</w:t>
      </w:r>
    </w:p>
    <w:p>
      <w:pPr>
        <w:spacing w:before="0" w:after="120" w:line="480"/>
        <w:ind w:left="360"/>
        <w:jc w:val="left"/>
      </w:pPr>
      <w:r>
        <w:rPr>
          <w:rFonts w:ascii="Times New Roman" w:cs="Times New Roman" w:eastAsia="Times New Roman" w:hAnsi="Times New Roman"/>
          <w:b w:val="false"/>
          <w:bCs w:val="false"/>
          <w:i w:val="false"/>
          <w:iCs w:val="false"/>
          <w:color w:val="000000"/>
          <w:sz w:val="24"/>
          <w:szCs w:val="24"/>
        </w:rPr>
        <w:t xml:space="preserve">Dynamic Sample Prompt Generation: Each trade maps to 6+ pre-authored project description samples written in authentic contractor language specific to that trade. For multi-trade users, samples from all selected trades are combined. These samples are displayed as rotating placeholder content in the estimation input interface, cycling every 8 seconds with crossfade transitions, and are selectable to auto-populate the input field.</w:t>
      </w:r>
    </w:p>
    <w:p>
      <w:pPr>
        <w:spacing w:before="240" w:after="120" w:line="480"/>
      </w:pPr>
      <w:r>
        <w:rPr>
          <w:rFonts w:ascii="Times New Roman" w:cs="Times New Roman" w:eastAsia="Times New Roman" w:hAnsi="Times New Roman"/>
          <w:b/>
          <w:bCs/>
          <w:i/>
          <w:iCs/>
          <w:sz w:val="24"/>
          <w:szCs w:val="24"/>
        </w:rPr>
        <w:t xml:space="preserve">9. Prompt Validation Subsystem</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To prevent quality regressions when AI estimation prompts are modified, the system includes a prompt validation subsystem comprising: (a) a library of standardized construction test cases spanning all project types, trade specialties, and complexity levels; (b) a batch execution engine that runs a prompt version against the full test suite and records outputs; (c) a comparison engine that identifies differences between prompt versions including pricing deltas, line item count changes, and category coverage; and (d) per-prompt performance metrics including success rate, average latency, and average token consumption. No prompt modification is deployed to production without passing validation against the test suite.</w:t>
      </w:r>
    </w:p>
    <w:p>
      <w:pPr>
        <w:spacing w:before="240" w:after="120" w:line="480"/>
      </w:pPr>
      <w:r>
        <w:rPr>
          <w:rFonts w:ascii="Times New Roman" w:cs="Times New Roman" w:eastAsia="Times New Roman" w:hAnsi="Times New Roman"/>
          <w:b/>
          <w:bCs/>
          <w:i/>
          <w:iCs/>
          <w:sz w:val="24"/>
          <w:szCs w:val="24"/>
        </w:rPr>
        <w:t xml:space="preserve">10. Seed Rule Framework</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The system ships with a pre-loaded set of foundational Global Rules encoding critical construction domain knowledge that prevents the most common AI estimation errors from the first deployment. Seed rules include but are not limited to:</w:t>
      </w:r>
    </w:p>
    <w:p>
      <w:pPr>
        <w:spacing w:before="0" w:after="120" w:line="480"/>
        <w:ind w:left="720"/>
        <w:jc w:val="left"/>
      </w:pPr>
      <w:r>
        <w:rPr>
          <w:rFonts w:ascii="Times New Roman" w:cs="Times New Roman" w:eastAsia="Times New Roman" w:hAnsi="Times New Roman"/>
          <w:b w:val="false"/>
          <w:bCs w:val="false"/>
          <w:i w:val="false"/>
          <w:iCs w:val="false"/>
          <w:color w:val="000000"/>
          <w:sz w:val="24"/>
          <w:szCs w:val="24"/>
        </w:rPr>
        <w:t xml:space="preserve">• Well drilling excludes municipal water connection (and vice versa)</w:t>
      </w:r>
    </w:p>
    <w:p>
      <w:pPr>
        <w:spacing w:before="0" w:after="120" w:line="480"/>
        <w:ind w:left="720"/>
        <w:jc w:val="left"/>
      </w:pPr>
      <w:r>
        <w:rPr>
          <w:rFonts w:ascii="Times New Roman" w:cs="Times New Roman" w:eastAsia="Times New Roman" w:hAnsi="Times New Roman"/>
          <w:b w:val="false"/>
          <w:bCs w:val="false"/>
          <w:i w:val="false"/>
          <w:iCs w:val="false"/>
          <w:color w:val="000000"/>
          <w:sz w:val="24"/>
          <w:szCs w:val="24"/>
        </w:rPr>
        <w:t xml:space="preserve">• Septic system excludes public sewer connection (and vice versa)</w:t>
      </w:r>
    </w:p>
    <w:p>
      <w:pPr>
        <w:spacing w:before="0" w:after="120" w:line="480"/>
        <w:ind w:left="720"/>
        <w:jc w:val="left"/>
      </w:pPr>
      <w:r>
        <w:rPr>
          <w:rFonts w:ascii="Times New Roman" w:cs="Times New Roman" w:eastAsia="Times New Roman" w:hAnsi="Times New Roman"/>
          <w:b w:val="false"/>
          <w:bCs w:val="false"/>
          <w:i w:val="false"/>
          <w:iCs w:val="false"/>
          <w:color w:val="000000"/>
          <w:sz w:val="24"/>
          <w:szCs w:val="24"/>
        </w:rPr>
        <w:t xml:space="preserve">• Turnkey/complete build projects require all relevant trade categories</w:t>
      </w:r>
    </w:p>
    <w:p>
      <w:pPr>
        <w:spacing w:before="0" w:after="120" w:line="480"/>
        <w:ind w:left="720"/>
        <w:jc w:val="left"/>
      </w:pPr>
      <w:r>
        <w:rPr>
          <w:rFonts w:ascii="Times New Roman" w:cs="Times New Roman" w:eastAsia="Times New Roman" w:hAnsi="Times New Roman"/>
          <w:b w:val="false"/>
          <w:bCs w:val="false"/>
          <w:i w:val="false"/>
          <w:iCs w:val="false"/>
          <w:color w:val="000000"/>
          <w:sz w:val="24"/>
          <w:szCs w:val="24"/>
        </w:rPr>
        <w:t xml:space="preserve">• Foundation type constrains structural framing approach</w:t>
      </w:r>
    </w:p>
    <w:p>
      <w:pPr>
        <w:spacing w:before="0" w:after="120" w:line="480"/>
        <w:ind w:left="720"/>
        <w:jc w:val="left"/>
      </w:pPr>
      <w:r>
        <w:rPr>
          <w:rFonts w:ascii="Times New Roman" w:cs="Times New Roman" w:eastAsia="Times New Roman" w:hAnsi="Times New Roman"/>
          <w:b w:val="false"/>
          <w:bCs w:val="false"/>
          <w:i w:val="false"/>
          <w:iCs w:val="false"/>
          <w:color w:val="000000"/>
          <w:sz w:val="24"/>
          <w:szCs w:val="24"/>
        </w:rPr>
        <w:t xml:space="preserve">• Climate zone affects insulation specifications and freeze protection requirements</w:t>
      </w:r>
    </w:p>
    <w:p>
      <w:pPr>
        <w:spacing w:before="0" w:after="120" w:line="480"/>
        <w:ind w:left="720"/>
        <w:jc w:val="left"/>
      </w:pPr>
      <w:r>
        <w:rPr>
          <w:rFonts w:ascii="Times New Roman" w:cs="Times New Roman" w:eastAsia="Times New Roman" w:hAnsi="Times New Roman"/>
          <w:b w:val="false"/>
          <w:bCs w:val="false"/>
          <w:i w:val="false"/>
          <w:iCs w:val="false"/>
          <w:color w:val="000000"/>
          <w:sz w:val="24"/>
          <w:szCs w:val="24"/>
        </w:rPr>
        <w:t xml:space="preserve">• Square footage must be proportionally reflected in material quantities</w:t>
      </w:r>
    </w:p>
    <w:p>
      <w:r>
        <w:br w:type="page"/>
      </w:r>
    </w:p>
    <w:p>
      <w:pPr>
        <w:spacing w:before="360" w:after="240" w:line="480"/>
        <w:jc w:val="center"/>
      </w:pPr>
      <w:r>
        <w:rPr>
          <w:rFonts w:ascii="Times New Roman" w:cs="Times New Roman" w:eastAsia="Times New Roman" w:hAnsi="Times New Roman"/>
          <w:b/>
          <w:bCs/>
          <w:sz w:val="24"/>
          <w:szCs w:val="24"/>
          <w:u w:val="single"/>
        </w:rPr>
        <w:t xml:space="preserve">CLAIMS</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What is claimed is:</w:t>
      </w:r>
    </w:p>
    <w:p>
      <w:pPr>
        <w:spacing w:before="0" w:after="200" w:line="480"/>
        <w:ind w:left="720"/>
        <w:jc w:val="left"/>
      </w:pPr>
      <w:r>
        <w:rPr>
          <w:rFonts w:ascii="Times New Roman" w:cs="Times New Roman" w:eastAsia="Times New Roman" w:hAnsi="Times New Roman"/>
          <w:b/>
          <w:bCs/>
          <w:i w:val="false"/>
          <w:iCs w:val="false"/>
          <w:color w:val="000000"/>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computer-implemented method for verifying and correcting AI-generated construction estimates comprising: generating an AI estimation output from a user-provided project description using an AI model; prior to displaying said output to the user, performing a multi-phase post-generation verification process comprising: (a) extracting explicit scope items from the original project description as immutable facts; (b) parsing assumptions stated in the AI-generated output; (c) cross-referencing each parsed assumption against each extracted scope fact using both pattern matching and semantic analysis to detect contradictions; (d) validating coherence between generated line items, stated assumptions, and extracted scope facts; and (e) classifying each detected issue by severity; and for issues classified as critical violations, automatically submitting the output with correction instructions to the AI model for remediation and re-verifying the corrected output before display.</w:t>
      </w:r>
    </w:p>
    <w:p>
      <w:pPr>
        <w:spacing w:before="0" w:after="200" w:line="480"/>
        <w:ind w:left="720"/>
        <w:jc w:val="left"/>
      </w:pPr>
      <w:r>
        <w:rPr>
          <w:rFonts w:ascii="Times New Roman" w:cs="Times New Roman" w:eastAsia="Times New Roman" w:hAnsi="Times New Roman"/>
          <w:b/>
          <w:bCs/>
          <w:i w:val="false"/>
          <w:iCs w:val="false"/>
          <w:color w:val="000000"/>
          <w:sz w:val="24"/>
          <w:szCs w:val="24"/>
        </w:rPr>
        <w:t xml:space="preserve">2. The method of claim 1, </w:t>
      </w:r>
      <w:r>
        <w:rPr>
          <w:rFonts w:ascii="Times New Roman" w:cs="Times New Roman" w:eastAsia="Times New Roman" w:hAnsi="Times New Roman"/>
          <w:b w:val="false"/>
          <w:bCs w:val="false"/>
          <w:i w:val="false"/>
          <w:iCs w:val="false"/>
          <w:color w:val="000000"/>
          <w:sz w:val="24"/>
          <w:szCs w:val="24"/>
        </w:rPr>
        <w:t xml:space="preserve">further comprising storing training rules in a persistent multi-layer hierarchical database comprising three distinct layers: a Global Rules layer containing universal rules at priority 80-100 that apply to all estimation requests and cannot be overridden; a Trade Knowledge layer containing domain expertise at priority 40-79 organized by trade specialty, project type, and geographic region; and a User Corrections layer containing per-user learned preferences at priority 1-39; and prior to generating the AI estimation output, injecting applicable rules from all three layers into the AI model prompt ordered by priority.</w:t>
      </w:r>
    </w:p>
    <w:p>
      <w:pPr>
        <w:spacing w:before="0" w:after="200" w:line="480"/>
        <w:ind w:left="720"/>
        <w:jc w:val="left"/>
      </w:pPr>
      <w:r>
        <w:rPr>
          <w:rFonts w:ascii="Times New Roman" w:cs="Times New Roman" w:eastAsia="Times New Roman" w:hAnsi="Times New Roman"/>
          <w:b/>
          <w:bCs/>
          <w:i w:val="false"/>
          <w:iCs w:val="false"/>
          <w:color w:val="000000"/>
          <w:sz w:val="24"/>
          <w:szCs w:val="24"/>
        </w:rPr>
        <w:t xml:space="preserve">3. The method of claim 1, </w:t>
      </w:r>
      <w:r>
        <w:rPr>
          <w:rFonts w:ascii="Times New Roman" w:cs="Times New Roman" w:eastAsia="Times New Roman" w:hAnsi="Times New Roman"/>
          <w:b w:val="false"/>
          <w:bCs w:val="false"/>
          <w:i w:val="false"/>
          <w:iCs w:val="false"/>
          <w:color w:val="000000"/>
          <w:sz w:val="24"/>
          <w:szCs w:val="24"/>
        </w:rPr>
        <w:t xml:space="preserve">wherein the cross-referencing of step (c) comprises a dual-check process: first applying regular expression pattern matching against known contradiction patterns for speed, then applying AI-powered semantic analysis for novel contradiction patterns not captured by the pattern matching, thereby ensuring both computational efficiency and comprehensive coverage.</w:t>
      </w:r>
    </w:p>
    <w:p>
      <w:pPr>
        <w:spacing w:before="0" w:after="200" w:line="480"/>
        <w:ind w:left="720"/>
        <w:jc w:val="left"/>
      </w:pPr>
      <w:r>
        <w:rPr>
          <w:rFonts w:ascii="Times New Roman" w:cs="Times New Roman" w:eastAsia="Times New Roman" w:hAnsi="Times New Roman"/>
          <w:b/>
          <w:bCs/>
          <w:i w:val="false"/>
          <w:iCs w:val="false"/>
          <w:color w:val="000000"/>
          <w:sz w:val="24"/>
          <w:szCs w:val="24"/>
        </w:rPr>
        <w:t xml:space="preserve">4. The method of claim 1, </w:t>
      </w:r>
      <w:r>
        <w:rPr>
          <w:rFonts w:ascii="Times New Roman" w:cs="Times New Roman" w:eastAsia="Times New Roman" w:hAnsi="Times New Roman"/>
          <w:b w:val="false"/>
          <w:bCs w:val="false"/>
          <w:i w:val="false"/>
          <w:iCs w:val="false"/>
          <w:color w:val="000000"/>
          <w:sz w:val="24"/>
          <w:szCs w:val="24"/>
        </w:rPr>
        <w:t xml:space="preserve">wherein the automatic remediation comprises: assembling a remediation prompt containing the original output, specific violation descriptions, and explicit correction instructions; submitting the remediation prompt to the AI model; re-verifying the corrected output through the same multi-phase verification process; and repeating the remediation cycle up to a maximum iteration limit, after which remaining violations are annotated for manual user review.</w:t>
      </w:r>
    </w:p>
    <w:p>
      <w:pPr>
        <w:spacing w:before="0" w:after="200" w:line="480"/>
        <w:ind w:left="720"/>
        <w:jc w:val="left"/>
      </w:pPr>
      <w:r>
        <w:rPr>
          <w:rFonts w:ascii="Times New Roman" w:cs="Times New Roman" w:eastAsia="Times New Roman" w:hAnsi="Times New Roman"/>
          <w:b/>
          <w:bCs/>
          <w:i w:val="false"/>
          <w:iCs w:val="false"/>
          <w:color w:val="000000"/>
          <w:sz w:val="24"/>
          <w:szCs w:val="24"/>
        </w:rPr>
        <w:t xml:space="preserve">5. The method of claim 1, </w:t>
      </w:r>
      <w:r>
        <w:rPr>
          <w:rFonts w:ascii="Times New Roman" w:cs="Times New Roman" w:eastAsia="Times New Roman" w:hAnsi="Times New Roman"/>
          <w:b w:val="false"/>
          <w:bCs w:val="false"/>
          <w:i w:val="false"/>
          <w:iCs w:val="false"/>
          <w:color w:val="000000"/>
          <w:sz w:val="24"/>
          <w:szCs w:val="24"/>
        </w:rPr>
        <w:t xml:space="preserve">further comprising an Auto-Learner module that monitors user edits to generated estimates across a plurality of users, classifies each edit as a correction, preference, or scope change based on edit magnitude analysis and semantic comparison, automatically generates persistent correction rules from edits classified as corrections with confidence above a threshold, and detects when three or more distinct users independently make semantically similar corrections to surface candidates for promotion to Global Rules.</w:t>
      </w:r>
    </w:p>
    <w:p>
      <w:pPr>
        <w:spacing w:before="0" w:after="200" w:line="480"/>
        <w:ind w:left="720"/>
        <w:jc w:val="left"/>
      </w:pPr>
      <w:r>
        <w:rPr>
          <w:rFonts w:ascii="Times New Roman" w:cs="Times New Roman" w:eastAsia="Times New Roman" w:hAnsi="Times New Roman"/>
          <w:b/>
          <w:bCs/>
          <w:i w:val="false"/>
          <w:iCs w:val="false"/>
          <w:color w:val="000000"/>
          <w:sz w:val="24"/>
          <w:szCs w:val="24"/>
        </w:rPr>
        <w:t xml:space="preserve">6. The method of claim 5, </w:t>
      </w:r>
      <w:r>
        <w:rPr>
          <w:rFonts w:ascii="Times New Roman" w:cs="Times New Roman" w:eastAsia="Times New Roman" w:hAnsi="Times New Roman"/>
          <w:b w:val="false"/>
          <w:bCs w:val="false"/>
          <w:i w:val="false"/>
          <w:iCs w:val="false"/>
          <w:color w:val="000000"/>
          <w:sz w:val="24"/>
          <w:szCs w:val="24"/>
        </w:rPr>
        <w:t xml:space="preserve">wherein the Auto-Learner module maintains correction frequency analysis by category, trade, and geographic region, and when correction frequency for a specific pattern exceeds a configurable threshold, generates a suggested Global Rule with supporting statistics.</w:t>
      </w:r>
    </w:p>
    <w:p>
      <w:pPr>
        <w:spacing w:before="0" w:after="200" w:line="480"/>
        <w:ind w:left="720"/>
        <w:jc w:val="left"/>
      </w:pPr>
      <w:r>
        <w:rPr>
          <w:rFonts w:ascii="Times New Roman" w:cs="Times New Roman" w:eastAsia="Times New Roman" w:hAnsi="Times New Roman"/>
          <w:b/>
          <w:bCs/>
          <w:i w:val="false"/>
          <w:iCs w:val="false"/>
          <w:color w:val="000000"/>
          <w:sz w:val="24"/>
          <w:szCs w:val="24"/>
        </w:rPr>
        <w:t xml:space="preserve">7. The method of claim 1, </w:t>
      </w:r>
      <w:r>
        <w:rPr>
          <w:rFonts w:ascii="Times New Roman" w:cs="Times New Roman" w:eastAsia="Times New Roman" w:hAnsi="Times New Roman"/>
          <w:b w:val="false"/>
          <w:bCs w:val="false"/>
          <w:i w:val="false"/>
          <w:iCs w:val="false"/>
          <w:color w:val="000000"/>
          <w:sz w:val="24"/>
          <w:szCs w:val="24"/>
        </w:rPr>
        <w:t xml:space="preserve">further comprising a Quick Teach interface that receives a natural language description of an error and correction from a domain expert and processes said description through an AI meta-layer to generate: a structured rule with IF/WHEN conditions and ALWAYS/NEVER actions; trigger keywords for automatic activation; related rules inferred by applying the logical pattern of the primary correction to analogous domain scenarios; and a test case for verification.</w:t>
      </w:r>
    </w:p>
    <w:p>
      <w:pPr>
        <w:spacing w:before="0" w:after="200" w:line="480"/>
        <w:ind w:left="720"/>
        <w:jc w:val="left"/>
      </w:pPr>
      <w:r>
        <w:rPr>
          <w:rFonts w:ascii="Times New Roman" w:cs="Times New Roman" w:eastAsia="Times New Roman" w:hAnsi="Times New Roman"/>
          <w:b/>
          <w:bCs/>
          <w:i w:val="false"/>
          <w:iCs w:val="false"/>
          <w:color w:val="000000"/>
          <w:sz w:val="24"/>
          <w:szCs w:val="24"/>
        </w:rPr>
        <w:t xml:space="preserve">8. The method of claim 2, </w:t>
      </w:r>
      <w:r>
        <w:rPr>
          <w:rFonts w:ascii="Times New Roman" w:cs="Times New Roman" w:eastAsia="Times New Roman" w:hAnsi="Times New Roman"/>
          <w:b w:val="false"/>
          <w:bCs w:val="false"/>
          <w:i w:val="false"/>
          <w:iCs w:val="false"/>
          <w:color w:val="000000"/>
          <w:sz w:val="24"/>
          <w:szCs w:val="24"/>
        </w:rPr>
        <w:t xml:space="preserve">further comprising a trade contextualization layer wherein the user’s declared trade specialties are injected into every AI estimation prompt, each trade maps to a predefined category schema determining line item organization and prioritization, and the rule injection from the Trade Knowledge layer is filtered based on the user’s trade selection.</w:t>
      </w:r>
    </w:p>
    <w:p>
      <w:pPr>
        <w:spacing w:before="0" w:after="200" w:line="480"/>
        <w:ind w:left="720"/>
        <w:jc w:val="left"/>
      </w:pPr>
      <w:r>
        <w:rPr>
          <w:rFonts w:ascii="Times New Roman" w:cs="Times New Roman" w:eastAsia="Times New Roman" w:hAnsi="Times New Roman"/>
          <w:b/>
          <w:bCs/>
          <w:i w:val="false"/>
          <w:iCs w:val="false"/>
          <w:color w:val="000000"/>
          <w:sz w:val="24"/>
          <w:szCs w:val="24"/>
        </w:rPr>
        <w:t xml:space="preserve">9. The method of claim 1, </w:t>
      </w:r>
      <w:r>
        <w:rPr>
          <w:rFonts w:ascii="Times New Roman" w:cs="Times New Roman" w:eastAsia="Times New Roman" w:hAnsi="Times New Roman"/>
          <w:b w:val="false"/>
          <w:bCs w:val="false"/>
          <w:i w:val="false"/>
          <w:iCs w:val="false"/>
          <w:color w:val="000000"/>
          <w:sz w:val="24"/>
          <w:szCs w:val="24"/>
        </w:rPr>
        <w:t xml:space="preserve">further comprising a prompt validation subsystem comprising a library of standardized construction test cases, a batch execution engine, and a comparison engine that evaluates pricing deltas, line item count changes, and category coverage differences between prompt versions, wherein no prompt modification is deployed to production without passing validation against the test suite.</w:t>
      </w:r>
    </w:p>
    <w:p>
      <w:pPr>
        <w:spacing w:before="0" w:after="200" w:line="480"/>
        <w:ind w:left="720"/>
        <w:jc w:val="left"/>
      </w:pPr>
      <w:r>
        <w:rPr>
          <w:rFonts w:ascii="Times New Roman" w:cs="Times New Roman" w:eastAsia="Times New Roman" w:hAnsi="Times New Roman"/>
          <w:b/>
          <w:bCs/>
          <w:i w:val="false"/>
          <w:iCs w:val="false"/>
          <w:color w:val="000000"/>
          <w:sz w:val="24"/>
          <w:szCs w:val="24"/>
        </w:rPr>
        <w:t xml:space="preserve">10. </w:t>
      </w:r>
      <w:r>
        <w:rPr>
          <w:rFonts w:ascii="Times New Roman" w:cs="Times New Roman" w:eastAsia="Times New Roman" w:hAnsi="Times New Roman"/>
          <w:b w:val="false"/>
          <w:bCs w:val="false"/>
          <w:i w:val="false"/>
          <w:iCs w:val="false"/>
          <w:color w:val="000000"/>
          <w:sz w:val="24"/>
          <w:szCs w:val="24"/>
        </w:rPr>
        <w:t xml:space="preserve">A system for post-generation verification and persistent training of AI-powered construction estimation comprising: an AI Estimation Engine configured to generate estimates from project descriptions; a Consistency Engine configured to perform multi-phase verification of AI outputs before user display, said verification comprising scope extraction, assumption parsing, cross-referential contradiction detection using dual pattern matching and semantic analysis, line item coherence validation, and training rule compliance checking; an Auto-Fix Module configured to automatically remediate critical violations by resubmitting non-compliant output with correction instructions and re-verifying corrected output; a Multi-Layer Rule Database comprising Global Rules, Trade Knowledge, and User Correction layers with priority-based ordering; a Dynamic Prompt Injector configured to retrieve and inject applicable rules into AI prompts based on keyword matching and priority; an Auto-Learner Module configured to monitor user edits, classify corrections, generate persistent rules, and detect cross-user patterns for rule promotion; and a Quick Teach Interface for receiving natural language corrections and generating structured rules.</w:t>
      </w:r>
    </w:p>
    <w:p>
      <w:pPr>
        <w:spacing w:before="0" w:after="200" w:line="480"/>
        <w:ind w:left="720"/>
        <w:jc w:val="left"/>
      </w:pPr>
      <w:r>
        <w:rPr>
          <w:rFonts w:ascii="Times New Roman" w:cs="Times New Roman" w:eastAsia="Times New Roman" w:hAnsi="Times New Roman"/>
          <w:b/>
          <w:bCs/>
          <w:i w:val="false"/>
          <w:iCs w:val="false"/>
          <w:color w:val="000000"/>
          <w:sz w:val="24"/>
          <w:szCs w:val="24"/>
        </w:rPr>
        <w:t xml:space="preserve">11. The system of claim 10, </w:t>
      </w:r>
      <w:r>
        <w:rPr>
          <w:rFonts w:ascii="Times New Roman" w:cs="Times New Roman" w:eastAsia="Times New Roman" w:hAnsi="Times New Roman"/>
          <w:b w:val="false"/>
          <w:bCs w:val="false"/>
          <w:i w:val="false"/>
          <w:iCs w:val="false"/>
          <w:color w:val="000000"/>
          <w:sz w:val="24"/>
          <w:szCs w:val="24"/>
        </w:rPr>
        <w:t xml:space="preserve">wherein the Consistency Engine performs scope extraction by parsing the original project description to identify explicit scope items including water source type, wastewater system type, heating system type, and structural specifications, and stores said items as immutable facts that cannot be contradicted by the AI output.</w:t>
      </w:r>
    </w:p>
    <w:p>
      <w:r>
        <w:br w:type="page"/>
      </w:r>
    </w:p>
    <w:p>
      <w:pPr>
        <w:spacing w:before="360" w:after="240" w:line="480"/>
        <w:jc w:val="center"/>
      </w:pPr>
      <w:r>
        <w:rPr>
          <w:rFonts w:ascii="Times New Roman" w:cs="Times New Roman" w:eastAsia="Times New Roman" w:hAnsi="Times New Roman"/>
          <w:b/>
          <w:bCs/>
          <w:sz w:val="24"/>
          <w:szCs w:val="24"/>
          <w:u w:val="single"/>
        </w:rPr>
        <w:t xml:space="preserve">ABSTRACT</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A computer-implemented system and method for verifying and correcting AI-generated construction estimates through a post-generation consistency verification pipeline and persistent multi-layer training framework. The system performs multi-phase contradiction detection between explicit project scope, AI-generated assumptions, and line items using dual pattern-matching and semantic analysis before any output is displayed to a user. An Auto-Fix module automatically remediates critical violations. A three-tier hierarchical rule database stores Global Rules, Trade Knowledge, and User-Specific Corrections with priority-based prompt injection. An Auto-Learner monitors user edits across the platform, classifies corrections, automatically generates persistent rules, and detects cross-user patterns for promotion to universal rules. The system further comprises trade contextualization for personalizing AI behavior by contractor specialty and a prompt validation subsystem for preventing quality regressions through standardized batch testing.</w:t>
      </w:r>
    </w:p>
    <w:p>
      <w:r>
        <w:br w:type="page"/>
      </w:r>
    </w:p>
    <w:p>
      <w:pPr>
        <w:spacing w:before="360" w:after="240" w:line="480"/>
        <w:jc w:val="center"/>
      </w:pPr>
      <w:r>
        <w:rPr>
          <w:rFonts w:ascii="Times New Roman" w:cs="Times New Roman" w:eastAsia="Times New Roman" w:hAnsi="Times New Roman"/>
          <w:b/>
          <w:bCs/>
          <w:sz w:val="24"/>
          <w:szCs w:val="24"/>
          <w:u w:val="single"/>
        </w:rPr>
        <w:t xml:space="preserve">INVENTOR'S DECLARATION</w:t>
      </w:r>
    </w:p>
    <w:p>
      <w:pPr>
        <w:spacing w:before="0" w:after="200" w:line="480"/>
        <w:jc w:val="left"/>
      </w:pPr>
      <w:r>
        <w:rPr>
          <w:rFonts w:ascii="Times New Roman" w:cs="Times New Roman" w:eastAsia="Times New Roman" w:hAnsi="Times New Roman"/>
          <w:b w:val="false"/>
          <w:bCs w:val="false"/>
          <w:i w:val="false"/>
          <w:iCs w:val="false"/>
          <w:color w:val="000000"/>
          <w:sz w:val="24"/>
          <w:szCs w:val="24"/>
        </w:rPr>
        <w:t xml:space="preserve">I, Dylan Langone, declare that:</w:t>
      </w:r>
    </w:p>
    <w:p>
      <w:pPr>
        <w:spacing w:before="0" w:after="150" w:line="480"/>
        <w:ind w:left="720"/>
        <w:jc w:val="left"/>
      </w:pPr>
      <w:r>
        <w:rPr>
          <w:rFonts w:ascii="Times New Roman" w:cs="Times New Roman" w:eastAsia="Times New Roman" w:hAnsi="Times New Roman"/>
          <w:b w:val="false"/>
          <w:bCs w:val="false"/>
          <w:i w:val="false"/>
          <w:iCs w:val="false"/>
          <w:color w:val="000000"/>
          <w:sz w:val="24"/>
          <w:szCs w:val="24"/>
        </w:rPr>
        <w:t xml:space="preserve">(1) I am the original and sole inventor of the subject matter which is claimed and for which a patent is sought in this provisional application;</w:t>
      </w:r>
    </w:p>
    <w:p>
      <w:pPr>
        <w:spacing w:before="0" w:after="150" w:line="480"/>
        <w:ind w:left="720"/>
        <w:jc w:val="left"/>
      </w:pPr>
      <w:r>
        <w:rPr>
          <w:rFonts w:ascii="Times New Roman" w:cs="Times New Roman" w:eastAsia="Times New Roman" w:hAnsi="Times New Roman"/>
          <w:b w:val="false"/>
          <w:bCs w:val="false"/>
          <w:i w:val="false"/>
          <w:iCs w:val="false"/>
          <w:color w:val="000000"/>
          <w:sz w:val="24"/>
          <w:szCs w:val="24"/>
        </w:rPr>
        <w:t xml:space="preserve">(2) I have reviewed and understand the contents of the above-identified specification, including the claims, as amended by any amendment specifically referred to herein;</w:t>
      </w:r>
    </w:p>
    <w:p>
      <w:pPr>
        <w:spacing w:before="0" w:after="150" w:line="480"/>
        <w:ind w:left="720"/>
        <w:jc w:val="left"/>
      </w:pPr>
      <w:r>
        <w:rPr>
          <w:rFonts w:ascii="Times New Roman" w:cs="Times New Roman" w:eastAsia="Times New Roman" w:hAnsi="Times New Roman"/>
          <w:b w:val="false"/>
          <w:bCs w:val="false"/>
          <w:i w:val="false"/>
          <w:iCs w:val="false"/>
          <w:color w:val="000000"/>
          <w:sz w:val="24"/>
          <w:szCs w:val="24"/>
        </w:rPr>
        <w:t xml:space="preserve">(3) I believe the subject matter claimed in this application to be novel and patentable;</w:t>
      </w:r>
    </w:p>
    <w:p>
      <w:pPr>
        <w:spacing w:before="0" w:after="150" w:line="480"/>
        <w:ind w:left="720"/>
        <w:jc w:val="left"/>
      </w:pPr>
      <w:r>
        <w:rPr>
          <w:rFonts w:ascii="Times New Roman" w:cs="Times New Roman" w:eastAsia="Times New Roman" w:hAnsi="Times New Roman"/>
          <w:b w:val="false"/>
          <w:bCs w:val="false"/>
          <w:i w:val="false"/>
          <w:iCs w:val="false"/>
          <w:color w:val="000000"/>
          <w:sz w:val="24"/>
          <w:szCs w:val="24"/>
        </w:rPr>
        <w:t xml:space="preserve">(4) I acknowledge my duty to disclose information which is material to patentability as defined in 37 CFR 1.56;</w:t>
      </w:r>
    </w:p>
    <w:p>
      <w:pPr>
        <w:spacing w:before="0" w:after="400" w:line="480"/>
        <w:ind w:left="720"/>
        <w:jc w:val="left"/>
      </w:pPr>
      <w:r>
        <w:rPr>
          <w:rFonts w:ascii="Times New Roman" w:cs="Times New Roman" w:eastAsia="Times New Roman" w:hAnsi="Times New Roman"/>
          <w:b w:val="false"/>
          <w:bCs w:val="false"/>
          <w:i w:val="false"/>
          <w:iCs w:val="false"/>
          <w:color w:val="000000"/>
          <w:sz w:val="24"/>
          <w:szCs w:val="24"/>
        </w:rPr>
        <w:t xml:space="preserve">(5) I hereby declare that all statements made herein of my own knowledge are true and that all statements made on information and belief are believed to be true.</w:t>
      </w:r>
    </w:p>
    <w:p>
      <w:pPr>
        <w:spacing w:before="0" w:after="200" w:line="480"/>
        <w:jc w:val="left"/>
      </w:pPr>
      <w:r>
        <w:rPr>
          <w:rFonts w:ascii="Times New Roman" w:cs="Times New Roman" w:eastAsia="Times New Roman" w:hAnsi="Times New Roman"/>
          <w:b w:val="false"/>
          <w:bCs w:val="false"/>
          <w:i w:val="false"/>
          <w:iCs w:val="false"/>
          <w:color w:val="000000"/>
          <w:sz w:val="24"/>
          <w:szCs w:val="24"/>
        </w:rPr>
        <w:t xml:space="preserve"/>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Inventor Signature: </w:t>
      </w:r>
      <w:r>
        <w:rPr>
          <w:rFonts w:ascii="Times New Roman" w:cs="Times New Roman" w:eastAsia="Times New Roman" w:hAnsi="Times New Roman"/>
          <w:b/>
          <w:bCs/>
          <w:i/>
          <w:iCs/>
          <w:color w:val="000000"/>
          <w:sz w:val="24"/>
          <w:szCs w:val="24"/>
        </w:rPr>
        <w:t xml:space="preserve">/Dylan Langone/</w:t>
      </w:r>
    </w:p>
    <w:p>
      <w:pPr>
        <w:spacing w:before="0" w:after="120" w:line="480"/>
        <w:jc w:val="left"/>
      </w:pPr>
      <w:r>
        <w:rPr>
          <w:rFonts w:ascii="Times New Roman" w:cs="Times New Roman" w:eastAsia="Times New Roman" w:hAnsi="Times New Roman"/>
          <w:b/>
          <w:bCs/>
          <w:i w:val="false"/>
          <w:iCs w:val="false"/>
          <w:color w:val="000000"/>
          <w:sz w:val="24"/>
          <w:szCs w:val="24"/>
        </w:rPr>
        <w:t xml:space="preserve">Printed Name: </w:t>
      </w:r>
      <w:r>
        <w:rPr>
          <w:rFonts w:ascii="Times New Roman" w:cs="Times New Roman" w:eastAsia="Times New Roman" w:hAnsi="Times New Roman"/>
          <w:b w:val="false"/>
          <w:bCs w:val="false"/>
          <w:i w:val="false"/>
          <w:iCs w:val="false"/>
          <w:color w:val="000000"/>
          <w:sz w:val="24"/>
          <w:szCs w:val="24"/>
        </w:rPr>
        <w:t xml:space="preserve">Dylan Langone</w:t>
      </w:r>
    </w:p>
    <w:p>
      <w:pPr>
        <w:spacing w:before="0" w:after="120" w:line="48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February 23, 2026</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
      </w:r>
    </w:p>
    <w:p>
      <w:pPr>
        <w:spacing w:before="0" w:after="120" w:line="480"/>
        <w:jc w:val="left"/>
      </w:pPr>
      <w:r>
        <w:rPr>
          <w:rFonts w:ascii="Times New Roman" w:cs="Times New Roman" w:eastAsia="Times New Roman" w:hAnsi="Times New Roman"/>
          <w:b/>
          <w:bCs/>
          <w:i w:val="false"/>
          <w:iCs w:val="false"/>
          <w:color w:val="000000"/>
          <w:sz w:val="24"/>
          <w:szCs w:val="24"/>
        </w:rPr>
        <w:t xml:space="preserve">Residence: </w:t>
      </w:r>
      <w:r>
        <w:rPr>
          <w:rFonts w:ascii="Times New Roman" w:cs="Times New Roman" w:eastAsia="Times New Roman" w:hAnsi="Times New Roman"/>
          <w:b w:val="false"/>
          <w:bCs w:val="false"/>
          <w:i w:val="false"/>
          <w:iCs w:val="false"/>
          <w:color w:val="000000"/>
          <w:sz w:val="24"/>
          <w:szCs w:val="24"/>
        </w:rPr>
        <w:t xml:space="preserve">621 Wakefield Rd, West Newfield, ME 04095</w:t>
      </w:r>
    </w:p>
    <w:p>
      <w:pPr>
        <w:spacing w:before="0" w:after="120" w:line="480"/>
        <w:jc w:val="left"/>
      </w:pPr>
      <w:r>
        <w:rPr>
          <w:rFonts w:ascii="Times New Roman" w:cs="Times New Roman" w:eastAsia="Times New Roman" w:hAnsi="Times New Roman"/>
          <w:b/>
          <w:bCs/>
          <w:i w:val="false"/>
          <w:iCs w:val="false"/>
          <w:color w:val="000000"/>
          <w:sz w:val="24"/>
          <w:szCs w:val="24"/>
        </w:rPr>
        <w:t xml:space="preserve">Citizenship: </w:t>
      </w:r>
      <w:r>
        <w:rPr>
          <w:rFonts w:ascii="Times New Roman" w:cs="Times New Roman" w:eastAsia="Times New Roman" w:hAnsi="Times New Roman"/>
          <w:b w:val="false"/>
          <w:bCs w:val="false"/>
          <w:i w:val="false"/>
          <w:iCs w:val="false"/>
          <w:color w:val="000000"/>
          <w:sz w:val="24"/>
          <w:szCs w:val="24"/>
        </w:rPr>
        <w:t xml:space="preserve">United States</w:t>
      </w:r>
    </w:p>
    <w:p>
      <w:r>
        <w:br w:type="page"/>
      </w:r>
    </w:p>
    <w:p>
      <w:pPr>
        <w:spacing w:before="360" w:after="240" w:line="480"/>
        <w:jc w:val="center"/>
      </w:pPr>
      <w:r>
        <w:rPr>
          <w:rFonts w:ascii="Times New Roman" w:cs="Times New Roman" w:eastAsia="Times New Roman" w:hAnsi="Times New Roman"/>
          <w:b/>
          <w:bCs/>
          <w:sz w:val="24"/>
          <w:szCs w:val="24"/>
          <w:u w:val="single"/>
        </w:rPr>
        <w:t xml:space="preserve">SIGNATURE PAGE</w:t>
      </w:r>
    </w:p>
    <w:p>
      <w:pPr>
        <w:spacing w:before="0" w:after="400" w:line="480"/>
        <w:jc w:val="left"/>
      </w:pPr>
      <w:r>
        <w:rPr>
          <w:rFonts w:ascii="Times New Roman" w:cs="Times New Roman" w:eastAsia="Times New Roman" w:hAnsi="Times New Roman"/>
          <w:b w:val="false"/>
          <w:bCs w:val="false"/>
          <w:i w:val="false"/>
          <w:iCs w:val="false"/>
          <w:color w:val="000000"/>
          <w:sz w:val="24"/>
          <w:szCs w:val="24"/>
        </w:rPr>
        <w:t xml:space="preserve">I hereby declare that all statements made herein of my own knowledge are true and that all statements made on information and belief are believed to be true; and further that these statements were made with the knowledge that willful false statements and the like so made are punishable by fine or imprisonment, or both, under Section 1001 of Title 18 of the United States Code and that such willful false statements may jeopardize the validity of the application or any patent issued thereon.</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
      </w:r>
    </w:p>
    <w:p>
      <w:pPr>
        <w:spacing w:before="0" w:after="120" w:line="480"/>
        <w:jc w:val="left"/>
      </w:pPr>
      <w:r>
        <w:rPr>
          <w:rFonts w:ascii="Times New Roman" w:cs="Times New Roman" w:eastAsia="Times New Roman" w:hAnsi="Times New Roman"/>
          <w:b/>
          <w:bCs/>
          <w:i w:val="false"/>
          <w:iCs w:val="false"/>
          <w:color w:val="000000"/>
          <w:sz w:val="24"/>
          <w:szCs w:val="24"/>
        </w:rPr>
        <w:t xml:space="preserve">Signature: </w:t>
      </w:r>
      <w:r>
        <w:rPr>
          <w:rFonts w:ascii="Times New Roman" w:cs="Times New Roman" w:eastAsia="Times New Roman" w:hAnsi="Times New Roman"/>
          <w:b/>
          <w:bCs/>
          <w:i/>
          <w:iCs/>
          <w:color w:val="000000"/>
          <w:sz w:val="24"/>
          <w:szCs w:val="24"/>
        </w:rPr>
        <w:t xml:space="preserve">/Dylan Langone/</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
      </w:r>
    </w:p>
    <w:p>
      <w:pPr>
        <w:spacing w:before="0" w:after="120" w:line="480"/>
        <w:jc w:val="left"/>
      </w:pPr>
      <w:r>
        <w:rPr>
          <w:rFonts w:ascii="Times New Roman" w:cs="Times New Roman" w:eastAsia="Times New Roman" w:hAnsi="Times New Roman"/>
          <w:b/>
          <w:bCs/>
          <w:i w:val="false"/>
          <w:iCs w:val="false"/>
          <w:color w:val="000000"/>
          <w:sz w:val="24"/>
          <w:szCs w:val="24"/>
        </w:rPr>
        <w:t xml:space="preserve">Full Name: </w:t>
      </w:r>
      <w:r>
        <w:rPr>
          <w:rFonts w:ascii="Times New Roman" w:cs="Times New Roman" w:eastAsia="Times New Roman" w:hAnsi="Times New Roman"/>
          <w:b w:val="false"/>
          <w:bCs w:val="false"/>
          <w:i w:val="false"/>
          <w:iCs w:val="false"/>
          <w:color w:val="000000"/>
          <w:sz w:val="24"/>
          <w:szCs w:val="24"/>
        </w:rPr>
        <w:t xml:space="preserve">Dylan Langone</w:t>
      </w:r>
    </w:p>
    <w:p>
      <w:pPr>
        <w:spacing w:before="0" w:after="120" w:line="48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February 23, 2026</w:t>
      </w:r>
    </w:p>
    <w:p>
      <w:pPr>
        <w:spacing w:before="0" w:after="120" w:line="480"/>
        <w:jc w:val="left"/>
      </w:pPr>
      <w:r>
        <w:rPr>
          <w:rFonts w:ascii="Times New Roman" w:cs="Times New Roman" w:eastAsia="Times New Roman" w:hAnsi="Times New Roman"/>
          <w:b/>
          <w:bCs/>
          <w:i w:val="false"/>
          <w:iCs w:val="false"/>
          <w:color w:val="000000"/>
          <w:sz w:val="24"/>
          <w:szCs w:val="24"/>
        </w:rPr>
        <w:t xml:space="preserve">Address: </w:t>
      </w:r>
      <w:r>
        <w:rPr>
          <w:rFonts w:ascii="Times New Roman" w:cs="Times New Roman" w:eastAsia="Times New Roman" w:hAnsi="Times New Roman"/>
          <w:b w:val="false"/>
          <w:bCs w:val="false"/>
          <w:i w:val="false"/>
          <w:iCs w:val="false"/>
          <w:color w:val="000000"/>
          <w:sz w:val="24"/>
          <w:szCs w:val="24"/>
        </w:rPr>
        <w:t xml:space="preserve">621 Wakefield Rd, West Newfield, ME 04095</w:t>
      </w:r>
    </w:p>
    <w:p>
      <w:pPr>
        <w:spacing w:before="0" w:after="120" w:line="480"/>
        <w:jc w:val="left"/>
      </w:pPr>
      <w:r>
        <w:rPr>
          <w:rFonts w:ascii="Times New Roman" w:cs="Times New Roman" w:eastAsia="Times New Roman" w:hAnsi="Times New Roman"/>
          <w:b/>
          <w:bCs/>
          <w:i w:val="false"/>
          <w:iCs w:val="false"/>
          <w:color w:val="000000"/>
          <w:sz w:val="24"/>
          <w:szCs w:val="24"/>
        </w:rPr>
        <w:t xml:space="preserve">Citizenship: </w:t>
      </w:r>
      <w:r>
        <w:rPr>
          <w:rFonts w:ascii="Times New Roman" w:cs="Times New Roman" w:eastAsia="Times New Roman" w:hAnsi="Times New Roman"/>
          <w:b w:val="false"/>
          <w:bCs w:val="false"/>
          <w:i w:val="false"/>
          <w:iCs w:val="false"/>
          <w:color w:val="000000"/>
          <w:sz w:val="24"/>
          <w:szCs w:val="24"/>
        </w:rPr>
        <w:t xml:space="preserve">United States of America</w:t>
      </w:r>
    </w:p>
    <w:p>
      <w:pPr>
        <w:spacing w:before="0" w:after="120" w:line="480"/>
        <w:jc w:val="left"/>
      </w:pPr>
      <w:r>
        <w:rPr>
          <w:rFonts w:ascii="Times New Roman" w:cs="Times New Roman" w:eastAsia="Times New Roman" w:hAnsi="Times New Roman"/>
          <w:b/>
          <w:bCs/>
          <w:i w:val="false"/>
          <w:iCs w:val="false"/>
          <w:color w:val="000000"/>
          <w:sz w:val="24"/>
          <w:szCs w:val="24"/>
        </w:rPr>
        <w:t xml:space="preserve">Entity Status: </w:t>
      </w:r>
      <w:r>
        <w:rPr>
          <w:rFonts w:ascii="Times New Roman" w:cs="Times New Roman" w:eastAsia="Times New Roman" w:hAnsi="Times New Roman"/>
          <w:b w:val="false"/>
          <w:bCs w:val="false"/>
          <w:i w:val="false"/>
          <w:iCs w:val="false"/>
          <w:color w:val="000000"/>
          <w:sz w:val="24"/>
          <w:szCs w:val="24"/>
        </w:rPr>
        <w:t xml:space="preserve">Small Entity (37 CFR 1.27)</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20"/>
        <w:szCs w:val="20"/>
      </w:rPr>
      <w:t xml:space="preserve">Page </w:t>
    </w:r>
    <w:r>
      <w:rPr>
        <w:rFonts w:ascii="Times New Roman" w:cs="Times New Roman" w:eastAsia="Times New Roman" w:hAnsi="Times New Roman"/>
        <w:color w:val="666666"/>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999999"/>
        <w:sz w:val="18"/>
        <w:szCs w:val="18"/>
      </w:rPr>
      <w:t xml:space="preserve">Docket: EAP-2026-001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2026-02-23T20:28:47.447Z</dcterms:created>
  <dcterms:modified xsi:type="dcterms:W3CDTF">2026-02-23T20:28:47.448Z</dcterms:modified>
</cp:coreProperties>
</file>

<file path=docProps/custom.xml><?xml version="1.0" encoding="utf-8"?>
<Properties xmlns="http://schemas.openxmlformats.org/officeDocument/2006/custom-properties" xmlns:vt="http://schemas.openxmlformats.org/officeDocument/2006/docPropsVTypes"/>
</file>