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60" w:line="276"/>
        <w:jc w:val="center"/>
      </w:pPr>
      <w:r>
        <w:rPr>
          <w:rFonts w:ascii="Times New Roman" w:cs="Times New Roman" w:eastAsia="Times New Roman" w:hAnsi="Times New Roman"/>
          <w:b/>
          <w:bCs/>
          <w:i w:val="false"/>
          <w:iCs w:val="false"/>
          <w:color w:val="000000"/>
          <w:sz w:val="28"/>
          <w:szCs w:val="28"/>
        </w:rPr>
        <w:t xml:space="preserve">UNITED STATES PATENT AND TRADEMARK OFFICE</w:t>
      </w:r>
    </w:p>
    <w:p>
      <w:pPr>
        <w:spacing w:before="0" w:after="200" w:line="276"/>
        <w:jc w:val="center"/>
      </w:pPr>
      <w:r>
        <w:rPr>
          <w:rFonts w:ascii="Times New Roman" w:cs="Times New Roman" w:eastAsia="Times New Roman" w:hAnsi="Times New Roman"/>
          <w:b w:val="false"/>
          <w:bCs w:val="false"/>
          <w:i w:val="false"/>
          <w:iCs w:val="false"/>
          <w:color w:val="999999"/>
          <w:sz w:val="24"/>
          <w:szCs w:val="24"/>
        </w:rPr>
        <w:t xml:space="preserve">──────────────────────────────────────────────────</w:t>
      </w:r>
    </w:p>
    <w:p>
      <w:pPr>
        <w:spacing w:before="0" w:after="60" w:line="276"/>
        <w:jc w:val="center"/>
      </w:pPr>
      <w:r>
        <w:rPr>
          <w:rFonts w:ascii="Times New Roman" w:cs="Times New Roman" w:eastAsia="Times New Roman" w:hAnsi="Times New Roman"/>
          <w:b/>
          <w:bCs/>
          <w:i w:val="false"/>
          <w:iCs w:val="false"/>
          <w:color w:val="000000"/>
          <w:sz w:val="26"/>
          <w:szCs w:val="26"/>
        </w:rPr>
        <w:t xml:space="preserve">PROVISIONAL APPLICATION FOR PATENT COVER SHEET</w:t>
      </w:r>
    </w:p>
    <w:p>
      <w:pPr>
        <w:spacing w:before="0" w:after="400" w:line="276"/>
        <w:jc w:val="center"/>
      </w:pPr>
      <w:r>
        <w:rPr>
          <w:rFonts w:ascii="Times New Roman" w:cs="Times New Roman" w:eastAsia="Times New Roman" w:hAnsi="Times New Roman"/>
          <w:b w:val="false"/>
          <w:bCs w:val="false"/>
          <w:i w:val="false"/>
          <w:iCs w:val="false"/>
          <w:color w:val="000000"/>
          <w:sz w:val="20"/>
          <w:szCs w:val="20"/>
        </w:rPr>
        <w:t xml:space="preserve">(37 CFR 1.53(c))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TITLE OF INVENTION:</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Unified Construction Document Intelligence Pipeline with Supplier Invoice Parsing, Material Price Normalization, and AI Estimation Integration</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INVENTOR:</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Dylan Langone</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RESIDENCE:</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621 Wakefield Rd, West Newfield, ME 04095</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CITIZENSHIP:</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United States</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ENTITY STATUS:</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Small Entity (37 CFR 1.27)</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FILING FEE:</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$130.00 (Small Entity — 37 CFR 1.16(d))</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DOCKET NO.:</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EAP-2026-002</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APPLICATION NO.:</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[To be assigned by USPTO]</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FILING DATE:</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[Date of Filing]</w:t>
            </w:r>
          </w:p>
        </w:tc>
      </w:tr>
    </w:tbl>
    <w:p>
      <w:pPr>
        <w:spacing w:before="0" w:after="30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before="0" w:after="60" w:line="276"/>
        <w:jc w:val="left"/>
      </w:pPr>
      <w:r>
        <w:rPr>
          <w:rFonts w:ascii="Times New Roman" w:cs="Times New Roman" w:eastAsia="Times New Roman" w:hAnsi="Times New Roman"/>
          <w:b/>
          <w:bCs/>
          <w:i w:val="false"/>
          <w:iCs w:val="false"/>
          <w:color w:val="000000"/>
          <w:sz w:val="24"/>
          <w:szCs w:val="24"/>
        </w:rPr>
        <w:t xml:space="preserve">CORRESPONDENCE ADDRESS:</w:t>
      </w:r>
    </w:p>
    <w:p>
      <w:pPr>
        <w:spacing w:before="0" w:after="120" w:line="276"/>
        <w:jc w:val="left"/>
      </w:pPr>
      <w:r>
        <w:rPr>
          <w:rFonts w:ascii="Times New Roman" w:cs="Times New Roman" w:eastAsia="Times New Roman" w:hAnsi="Times New Roman"/>
          <w:b w:val="false"/>
          <w:bCs w:val="false"/>
          <w:i w:val="false"/>
          <w:iCs w:val="false"/>
          <w:color w:val="000000"/>
          <w:sz w:val="24"/>
          <w:szCs w:val="24"/>
        </w:rPr>
        <w:t xml:space="preserve">Dylan Langone</w:t>
      </w:r>
    </w:p>
    <w:p>
      <w:pPr>
        <w:spacing w:before="0" w:after="120" w:line="276"/>
        <w:jc w:val="left"/>
      </w:pPr>
      <w:r>
        <w:rPr>
          <w:rFonts w:ascii="Times New Roman" w:cs="Times New Roman" w:eastAsia="Times New Roman" w:hAnsi="Times New Roman"/>
          <w:b w:val="false"/>
          <w:bCs w:val="false"/>
          <w:i w:val="false"/>
          <w:iCs w:val="false"/>
          <w:color w:val="000000"/>
          <w:sz w:val="24"/>
          <w:szCs w:val="24"/>
        </w:rPr>
        <w:t xml:space="preserve">621 Wakefield Rd</w:t>
      </w:r>
    </w:p>
    <w:p>
      <w:pPr>
        <w:spacing w:before="0" w:after="120" w:line="276"/>
        <w:jc w:val="left"/>
      </w:pPr>
      <w:r>
        <w:rPr>
          <w:rFonts w:ascii="Times New Roman" w:cs="Times New Roman" w:eastAsia="Times New Roman" w:hAnsi="Times New Roman"/>
          <w:b w:val="false"/>
          <w:bCs w:val="false"/>
          <w:i w:val="false"/>
          <w:iCs w:val="false"/>
          <w:color w:val="000000"/>
          <w:sz w:val="24"/>
          <w:szCs w:val="24"/>
        </w:rPr>
        <w:t xml:space="preserve">West Newfield, ME 04095</w:t>
      </w:r>
    </w:p>
    <w:p>
      <w:pPr>
        <w:spacing w:before="0" w:after="300" w:line="276"/>
        <w:jc w:val="left"/>
      </w:pPr>
      <w:r>
        <w:rPr>
          <w:rFonts w:ascii="Times New Roman" w:cs="Times New Roman" w:eastAsia="Times New Roman" w:hAnsi="Times New Roman"/>
          <w:b w:val="false"/>
          <w:bCs w:val="false"/>
          <w:i w:val="false"/>
          <w:iCs w:val="false"/>
          <w:color w:val="000000"/>
          <w:sz w:val="24"/>
          <w:szCs w:val="24"/>
        </w:rPr>
        <w:t xml:space="preserve">United States</w:t>
      </w:r>
    </w:p>
    <w:p>
      <w:pPr>
        <w:spacing w:before="0" w:after="200" w:line="276"/>
        <w:jc w:val="left"/>
      </w:pPr>
      <w:r>
        <w:rPr>
          <w:rFonts w:ascii="Times New Roman" w:cs="Times New Roman" w:eastAsia="Times New Roman" w:hAnsi="Times New Roman"/>
          <w:b/>
          <w:bCs/>
          <w:i w:val="false"/>
          <w:iCs w:val="false"/>
          <w:color w:val="000000"/>
          <w:sz w:val="24"/>
          <w:szCs w:val="24"/>
        </w:rPr>
        <w:t xml:space="preserve">CLASSIFICATION: </w:t>
      </w:r>
      <w:r>
        <w:rPr>
          <w:rFonts w:ascii="Times New Roman" w:cs="Times New Roman" w:eastAsia="Times New Roman" w:hAnsi="Times New Roman"/>
          <w:b w:val="false"/>
          <w:bCs w:val="false"/>
          <w:i w:val="false"/>
          <w:iCs w:val="false"/>
          <w:color w:val="000000"/>
          <w:sz w:val="24"/>
          <w:szCs w:val="24"/>
        </w:rPr>
        <w:t xml:space="preserve">G06Q 30/02; G06Q 50/08; G06K 9/00; G06Q 10/08; G06F 16/93</w:t>
      </w:r>
    </w:p>
    <w:p>
      <w:pPr>
        <w:spacing w:before="0" w:after="200" w:line="276"/>
        <w:jc w:val="left"/>
      </w:pPr>
      <w:r>
        <w:rPr>
          <w:rFonts w:ascii="Times New Roman" w:cs="Times New Roman" w:eastAsia="Times New Roman" w:hAnsi="Times New Roman"/>
          <w:b/>
          <w:bCs/>
          <w:i w:val="false"/>
          <w:iCs w:val="false"/>
          <w:color w:val="000000"/>
          <w:sz w:val="24"/>
          <w:szCs w:val="24"/>
        </w:rPr>
        <w:t xml:space="preserve">RELATED APPLICATIONS: </w:t>
      </w:r>
      <w:r>
        <w:rPr>
          <w:rFonts w:ascii="Times New Roman" w:cs="Times New Roman" w:eastAsia="Times New Roman" w:hAnsi="Times New Roman"/>
          <w:b w:val="false"/>
          <w:bCs w:val="false"/>
          <w:i w:val="false"/>
          <w:iCs w:val="false"/>
          <w:color w:val="000000"/>
          <w:sz w:val="24"/>
          <w:szCs w:val="24"/>
        </w:rPr>
        <w:t xml:space="preserve">Co-pending provisional applications EAP-2026-001 and EAP-2026-003 through EAP-2026-005, filed concurrently.</w:t>
      </w:r>
    </w:p>
    <w:p>
      <w:pPr>
        <w:spacing w:before="0" w:after="20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before="0" w:after="120" w:line="276"/>
        <w:jc w:val="left"/>
      </w:pPr>
      <w:r>
        <w:rPr>
          <w:rFonts w:ascii="Times New Roman" w:cs="Times New Roman" w:eastAsia="Times New Roman" w:hAnsi="Times New Roman"/>
          <w:b w:val="false"/>
          <w:bCs w:val="false"/>
          <w:i/>
          <w:iCs/>
          <w:color w:val="000000"/>
          <w:sz w:val="20"/>
          <w:szCs w:val="20"/>
        </w:rPr>
        <w:t xml:space="preserve">This application claims the benefit of the filing date under 35 U.S.C. 111(b).</w:t>
      </w:r>
    </w:p>
    <w:p>
      <w:r>
        <w:br w:type="page"/>
      </w:r>
    </w:p>
    <w:p>
      <w:pPr>
        <w:spacing w:before="360" w:after="240" w:line="480"/>
        <w:jc w:val="center"/>
      </w:pPr>
      <w:r>
        <w:rPr>
          <w:rFonts w:ascii="Times New Roman" w:cs="Times New Roman" w:eastAsia="Times New Roman" w:hAnsi="Times New Roman"/>
          <w:b/>
          <w:bCs/>
          <w:sz w:val="24"/>
          <w:szCs w:val="24"/>
          <w:u w:val="single"/>
        </w:rPr>
        <w:t xml:space="preserve">SPECIFICATION</w:t>
      </w:r>
    </w:p>
    <w:p>
      <w:pPr>
        <w:spacing w:before="0" w:after="300" w:line="480"/>
        <w:jc w:val="center"/>
      </w:pPr>
      <w:r>
        <w:rPr>
          <w:rFonts w:ascii="Times New Roman" w:cs="Times New Roman" w:eastAsia="Times New Roman" w:hAnsi="Times New Roman"/>
          <w:b/>
          <w:bCs/>
          <w:i w:val="false"/>
          <w:iCs w:val="false"/>
          <w:color w:val="000000"/>
          <w:sz w:val="24"/>
          <w:szCs w:val="24"/>
        </w:rPr>
        <w:t xml:space="preserve">Unified Construction Document Intelligence Pipeline with Supplier Invoice Parsing, Material Price Normalization, and AI Estimation Integration</w:t>
      </w:r>
    </w:p>
    <w:p>
      <w:pPr>
        <w:spacing w:before="360" w:after="240" w:line="480"/>
      </w:pPr>
      <w:r>
        <w:rPr>
          <w:rFonts w:ascii="Times New Roman" w:cs="Times New Roman" w:eastAsia="Times New Roman" w:hAnsi="Times New Roman"/>
          <w:b/>
          <w:bCs/>
          <w:sz w:val="24"/>
          <w:szCs w:val="24"/>
        </w:rPr>
        <w:t xml:space="preserve">CROSS-REFERENCE TO RELATED APPLICATIONS</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This application is related to co-pending provisional patent applications filed concurrently herewith by the same inventor, including applications directed to a Persistent Multi-Layer Correction Training System, an AI-Generated Branded Document Template Design System, an AI-Generated Multi-Section Construction Proposal Engine, and an Integrated Contractor Intelligence Center.</w:t>
      </w:r>
    </w:p>
    <w:p>
      <w:pPr>
        <w:spacing w:before="360" w:after="240" w:line="480"/>
      </w:pPr>
      <w:r>
        <w:rPr>
          <w:rFonts w:ascii="Times New Roman" w:cs="Times New Roman" w:eastAsia="Times New Roman" w:hAnsi="Times New Roman"/>
          <w:b/>
          <w:bCs/>
          <w:sz w:val="24"/>
          <w:szCs w:val="24"/>
        </w:rPr>
        <w:t xml:space="preserve">FIELD OF THE INVENTION</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present invention relates to systems and methods for processing construction industry documents, and more particularly to a unified document upload and intelligence pipeline that automatically classifies construction documents by type, routes each document to a specialized parsing pipeline, extracts structured material pricing data from supplier invoices, normalizes item descriptions and units across multiple suppliers using construction-domain-specific normalization rules, and injects learned contractor-specific material pricing into AI-powered estimation calls.</w:t>
      </w:r>
    </w:p>
    <w:p>
      <w:pPr>
        <w:spacing w:before="360" w:after="240" w:line="480"/>
      </w:pPr>
      <w:r>
        <w:rPr>
          <w:rFonts w:ascii="Times New Roman" w:cs="Times New Roman" w:eastAsia="Times New Roman" w:hAnsi="Times New Roman"/>
          <w:b/>
          <w:bCs/>
          <w:sz w:val="24"/>
          <w:szCs w:val="24"/>
        </w:rPr>
        <w:t xml:space="preserve">BACKGROUND OF THE INVENTION</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Construction contractors generate, receive, and manage numerous document types in the course of business: cost estimates, proposals, supplier invoices, change orders, architectural plans, permits, jobsite photographs, and correspondence. Each document type contains different structured and unstructured data relevant to the contractor’s business operations.</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Existing document management systems for the construction industry require users to manually classify documents before upload, or provide separate upload interfaces for different document types. This fragmented approach creates friction that reduces adoption and limits data capture. Cloud-based document processing services such as AWS Textract and Google Document AI provide general-purpose document classification, but lack construction-specific taxonomies and do not route extracted data to domain-specific intelligence systems.</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Separately, construction contractors purchase materials from multiple suppliers including lumber yards, electrical supply houses, plumbing distributors, hardware stores, and specialty vendors. Each supplier uses different naming conventions, SKU systems, unit measurements, and pricing structures for identical or equivalent products. For example, the same dimensional lumber product may be described as “2x4x8 SPF #2&amp;BTR KD” by one supplier, “2x4-8’ Stud Grade Spruce” by another, and “2X4X96 #2 KD SPF” by a third.</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Existing estimating tools use generic regional or national material pricing databases that may not reflect the actual prices a specific contractor pays. A contractor who has negotiated pricing with a local lumber yard pays significantly different rates than published database averages. This pricing gap means AI-generated estimates using generic data consistently over- or under-price materials relative to the contractor’s actual costs, reducing trust in the estimation system.</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No existing system provides: (a) a single unified upload interface that automatically classifies construction document types without user intervention; (b) specialized parsing pipelines optimized for each construction document type; (c) a construction-domain-specific material nomenclature normalization engine that maps diverse supplier descriptions to canonical item names; (d) an aggregated material price library built from actual supplier invoices; and (e) integration of learned contractor-specific material pricing into AI-powered estimation prompts.</w:t>
      </w:r>
    </w:p>
    <w:p>
      <w:pPr>
        <w:spacing w:before="360" w:after="240" w:line="480"/>
      </w:pPr>
      <w:r>
        <w:rPr>
          <w:rFonts w:ascii="Times New Roman" w:cs="Times New Roman" w:eastAsia="Times New Roman" w:hAnsi="Times New Roman"/>
          <w:b/>
          <w:bCs/>
          <w:sz w:val="24"/>
          <w:szCs w:val="24"/>
        </w:rPr>
        <w:t xml:space="preserve">BRIEF SUMMARY OF THE INVENTION</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present invention provides a computer-implemented system and method comprising a unified document upload interface, an AI-powered document classifier with construction-specific taxonomy, specialized parsing pipelines for each document type, a construction material normalization engine, an aggregated material price library, and an estimation integration module that injects contractor-specific pricing into AI estimation calls.</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document classifier distinguishes between construction estimates, supplier invoices, client invoices, architectural plans, and jobsite photographs using distinguishing features specific to each document type. Classified documents are routed to specialized parsers: estimates are parsed for line items and markups feeding a Pricing DNA behavioral model; supplier invoices are parsed for material items and pricing feeding the Material Price Library; plans and photos are routed to specialized processors.</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material normalization engine applies construction-domain-specific rules to standardize item descriptions, dimensional notations, grade designations, and units of measure across suppliers, enabling accurate cross-supplier price comparison. The Material Price Library aggregates normalized pricing data, tracking average, last, minimum, maximum, and historical prices per material with best-supplier identification. During estimation, a fuzzy matching module identifies library materials that approximate needed estimate materials and injects actual contractor pricing into the AI prompt.</w:t>
      </w:r>
    </w:p>
    <w:p>
      <w:pPr>
        <w:spacing w:before="360" w:after="240" w:line="480"/>
      </w:pPr>
      <w:r>
        <w:rPr>
          <w:rFonts w:ascii="Times New Roman" w:cs="Times New Roman" w:eastAsia="Times New Roman" w:hAnsi="Times New Roman"/>
          <w:b/>
          <w:bCs/>
          <w:sz w:val="24"/>
          <w:szCs w:val="24"/>
        </w:rPr>
        <w:t xml:space="preserve">DETAILED DESCRIPTION OF PREFERRED EMBODIMENTS</w:t>
      </w:r>
    </w:p>
    <w:p>
      <w:pPr>
        <w:spacing w:before="240" w:after="120" w:line="480"/>
      </w:pPr>
      <w:r>
        <w:rPr>
          <w:rFonts w:ascii="Times New Roman" w:cs="Times New Roman" w:eastAsia="Times New Roman" w:hAnsi="Times New Roman"/>
          <w:b/>
          <w:bCs/>
          <w:i/>
          <w:iCs/>
          <w:sz w:val="24"/>
          <w:szCs w:val="24"/>
        </w:rPr>
        <w:t xml:space="preserve">1. Unified Upload Interface</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system provides a single drag-and-drop upload zone accepting PDF, XLSX, DOCX, CSV, JPG, and PNG formats. Multiple files may be uploaded simultaneously. No pre-classification by the user is required. Each uploaded file is assigned a unique identifier and queued for classification.</w:t>
      </w:r>
    </w:p>
    <w:p>
      <w:pPr>
        <w:spacing w:before="240" w:after="120" w:line="480"/>
      </w:pPr>
      <w:r>
        <w:rPr>
          <w:rFonts w:ascii="Times New Roman" w:cs="Times New Roman" w:eastAsia="Times New Roman" w:hAnsi="Times New Roman"/>
          <w:b/>
          <w:bCs/>
          <w:i/>
          <w:iCs/>
          <w:sz w:val="24"/>
          <w:szCs w:val="24"/>
        </w:rPr>
        <w:t xml:space="preserve">2. AI Document Classifier</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Each uploaded document is submitted to an AI classification model that analyzes both visual layout and textual content to classify the document into one of the following types:</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(a) ESTIMATE: Documents containing line items with pricing for contractor-performed work. Distinguishing features: presence of categories with grouped line items, unit pricing with markup or margin percentages, subtotals per category, and a grand total. Typically includes a project description header.</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(b) SUPPLIER_INVOICE: Documents containing purchased materials with prices from a material supplier. Distinguishing features: presence of supplier company information (name, address, phone), SKU or part numbers, quantity and unit columns, a PO number or invoice number, tax calculations, and shipping information.</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(c) CLIENT_INVOICE: Billing documents sent from the contractor to a client. Distinguishing features: “Invoice” or “Bill” header, customer information, payment terms, and amounts due without supplier-specific data.</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(d) PLAN: Architectural drawings, blueprints, or construction plans. Distinguishing features: scale indicators, dimension lines, architectural symbols, title blocks, and drawing numbers.</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(e) PHOTO: Jobsite photographs or images. Distinguishing features: photographic content without structured text.</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(f) UNKNOWN: Documents that cannot be classified with sufficient confidence.</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classifier provides a confidence score (0.0 to 1.0) and a natural language reasoning explanation for each classification decision. Documents classified with confidence below 0.7 are flagged for user confirmation.</w:t>
      </w:r>
    </w:p>
    <w:p>
      <w:pPr>
        <w:spacing w:before="240" w:after="120" w:line="480"/>
      </w:pPr>
      <w:r>
        <w:rPr>
          <w:rFonts w:ascii="Times New Roman" w:cs="Times New Roman" w:eastAsia="Times New Roman" w:hAnsi="Times New Roman"/>
          <w:b/>
          <w:bCs/>
          <w:i/>
          <w:iCs/>
          <w:sz w:val="24"/>
          <w:szCs w:val="24"/>
        </w:rPr>
        <w:t xml:space="preserve">3. Specialized Parsing Pipelines</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Each document type routes to a specialized parser:</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Estimate Parser: Extracts line items (description, quantity, unit, unit price, total), categories, markups (overhead, profit, contingency), project type classification, and project metadata. Extracted data feeds the Pricing DNA behavioral model.</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Supplier Invoice Parser: Extracts item descriptions, SKU/part numbers, categories (Lumber, Electrical, Plumbing, HVAC, Hardware, Fasteners, Roofing, Insulation, Drywall, Paint, Concrete), subcategories, quantities, units of measure, unit prices, line totals, supplier name, invoice number, date, total amount, and tax. Output feeds the Normalization Engine.</w:t>
      </w:r>
    </w:p>
    <w:p>
      <w:pPr>
        <w:spacing w:before="240" w:after="120" w:line="480"/>
      </w:pPr>
      <w:r>
        <w:rPr>
          <w:rFonts w:ascii="Times New Roman" w:cs="Times New Roman" w:eastAsia="Times New Roman" w:hAnsi="Times New Roman"/>
          <w:b/>
          <w:bCs/>
          <w:i/>
          <w:iCs/>
          <w:sz w:val="24"/>
          <w:szCs w:val="24"/>
        </w:rPr>
        <w:t xml:space="preserve">4. Construction Material Normalization Engine</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normalization engine is a critical inventive element that applies construction-domain-specific transformation rules to standardize extracted item data across suppliers. The engine performs the following transformations:</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Dimensional Lumber Normalization: Standardizes diverse naming conventions to a canonical format of [nominal dimension] [product type] [length] [species] [grade]. Specific mappings include:</w:t>
      </w:r>
    </w:p>
    <w:p>
      <w:pPr>
        <w:spacing w:before="0" w:after="120" w:line="480"/>
        <w:ind w:left="1080"/>
        <w:jc w:val="left"/>
      </w:pPr>
      <w:r>
        <w:rPr>
          <w:rFonts w:ascii="Times New Roman" w:cs="Times New Roman" w:eastAsia="Times New Roman" w:hAnsi="Times New Roman"/>
          <w:b w:val="false"/>
          <w:bCs w:val="false"/>
          <w:i w:val="false"/>
          <w:iCs w:val="false"/>
          <w:color w:val="000000"/>
          <w:sz w:val="24"/>
          <w:szCs w:val="24"/>
        </w:rPr>
        <w:t xml:space="preserve">• “2x4x8 SPF #2&amp;BTR KD” → “2x4 Stud 8ft SPF #2”</w:t>
      </w:r>
    </w:p>
    <w:p>
      <w:pPr>
        <w:spacing w:before="0" w:after="120" w:line="480"/>
        <w:ind w:left="1080"/>
        <w:jc w:val="left"/>
      </w:pPr>
      <w:r>
        <w:rPr>
          <w:rFonts w:ascii="Times New Roman" w:cs="Times New Roman" w:eastAsia="Times New Roman" w:hAnsi="Times New Roman"/>
          <w:b w:val="false"/>
          <w:bCs w:val="false"/>
          <w:i w:val="false"/>
          <w:iCs w:val="false"/>
          <w:color w:val="000000"/>
          <w:sz w:val="24"/>
          <w:szCs w:val="24"/>
        </w:rPr>
        <w:t xml:space="preserve">• “2x4-8’ Stud Grade Spruce” → “2x4 Stud 8ft SPF #2”</w:t>
      </w:r>
    </w:p>
    <w:p>
      <w:pPr>
        <w:spacing w:before="0" w:after="120" w:line="480"/>
        <w:ind w:left="1080"/>
        <w:jc w:val="left"/>
      </w:pPr>
      <w:r>
        <w:rPr>
          <w:rFonts w:ascii="Times New Roman" w:cs="Times New Roman" w:eastAsia="Times New Roman" w:hAnsi="Times New Roman"/>
          <w:b w:val="false"/>
          <w:bCs w:val="false"/>
          <w:i w:val="false"/>
          <w:iCs w:val="false"/>
          <w:color w:val="000000"/>
          <w:sz w:val="24"/>
          <w:szCs w:val="24"/>
        </w:rPr>
        <w:t xml:space="preserve">• “2X4X96 #2 KD SPF” → “2x4 Stud 8ft SPF #2”</w:t>
      </w:r>
    </w:p>
    <w:p>
      <w:pPr>
        <w:spacing w:before="0" w:after="120" w:line="480"/>
        <w:ind w:left="1080"/>
        <w:jc w:val="left"/>
      </w:pPr>
      <w:r>
        <w:rPr>
          <w:rFonts w:ascii="Times New Roman" w:cs="Times New Roman" w:eastAsia="Times New Roman" w:hAnsi="Times New Roman"/>
          <w:b w:val="false"/>
          <w:bCs w:val="false"/>
          <w:i w:val="false"/>
          <w:iCs w:val="false"/>
          <w:color w:val="000000"/>
          <w:sz w:val="24"/>
          <w:szCs w:val="24"/>
        </w:rPr>
        <w:t xml:space="preserve">• “2x6-16 Doug Fir #1” → “2x6 16ft DF #1”</w:t>
      </w:r>
    </w:p>
    <w:p>
      <w:pPr>
        <w:spacing w:before="0" w:after="120" w:line="480"/>
        <w:ind w:left="1080"/>
        <w:jc w:val="left"/>
      </w:pPr>
      <w:r>
        <w:rPr>
          <w:rFonts w:ascii="Times New Roman" w:cs="Times New Roman" w:eastAsia="Times New Roman" w:hAnsi="Times New Roman"/>
          <w:b w:val="false"/>
          <w:bCs w:val="false"/>
          <w:i w:val="false"/>
          <w:iCs w:val="false"/>
          <w:color w:val="000000"/>
          <w:sz w:val="24"/>
          <w:szCs w:val="24"/>
        </w:rPr>
        <w:t xml:space="preserve">• “2x12x12’ HF SEL STR” → “2x12 12ft HF Select Structural”</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Sheet Goods Normalization: “4x8 1/2” CDX PLY” → “1/2in CDX Plywood 4x8”; “7/16 OSB 4x8” → “7/16in OSB Sheathing 4x8”.</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Fastener Normalization: “16D GALV COMMON” → “16d Galvanized Common Nail”; “3” GRK RSS” → “3in GRK RSS Structural Screw”.</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Pipe Normalization: “3/4 CU TYPE M 10’” → “3/4in Copper Type M 10ft”; “2” SCH40 PVC 10’” → “2in PVC Schedule 40 10ft”.</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Electrical Normalization: “14/2 W/G NM-B 250’” → “14/2 NM-B Romex 250ft”; “12/3 UF-B 100’” → “12/3 UF-B Wire 100ft”.</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Insulation Normalization: “R-13 KF 15” 32sqft” → “R-13 Kraft-Faced 15in Batt”.</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Unit Standardization: The engine normalizes units of measure to standard comparison units. Board feet and linear feet are distinguished. Pack quantities are converted to individual units. Square footage and coverage rates are standardized.</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normalization process applies: (a) case normalization; (b) abbreviation expansion using a construction-specific abbreviation dictionary; (c) dimensional format standardization (converting foot marks, inch marks, and decimal notations to a consistent format); (d) species code standardization (SPF, DF, HF, SYP, etc.); (e) grade code standardization (#1, #2, Select Structural, Stud Grade, etc.); and (f) product type inference from context when not explicitly stated.</w:t>
      </w:r>
    </w:p>
    <w:p>
      <w:pPr>
        <w:spacing w:before="240" w:after="120" w:line="480"/>
      </w:pPr>
      <w:r>
        <w:rPr>
          <w:rFonts w:ascii="Times New Roman" w:cs="Times New Roman" w:eastAsia="Times New Roman" w:hAnsi="Times New Roman"/>
          <w:b/>
          <w:bCs/>
          <w:i/>
          <w:iCs/>
          <w:sz w:val="24"/>
          <w:szCs w:val="24"/>
        </w:rPr>
        <w:t xml:space="preserve">5. Material Price Library</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aggregation database maintains per-material records comprising: canonical item name (normalized), average unit price across all purchases, last purchase price and date, minimum historical price, maximum historical price, standard comparison unit, number of data points, price history array containing date, price, supplier name, and invoice reference for each data point, and best supplier identification based on lowest average price over the most recent six months. The library is queryable by item name (full-text search), category, subcategory, supplier, and date range.</w:t>
      </w:r>
    </w:p>
    <w:p>
      <w:pPr>
        <w:spacing w:before="240" w:after="120" w:line="480"/>
      </w:pPr>
      <w:r>
        <w:rPr>
          <w:rFonts w:ascii="Times New Roman" w:cs="Times New Roman" w:eastAsia="Times New Roman" w:hAnsi="Times New Roman"/>
          <w:b/>
          <w:bCs/>
          <w:i/>
          <w:iCs/>
          <w:sz w:val="24"/>
          <w:szCs w:val="24"/>
        </w:rPr>
        <w:t xml:space="preserve">6. AI Estimation Integration Module</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When generating estimates, the integration module performs the following process: (a) the AI model generates an initial list of materials needed for the project; (b) for each material, the module queries the Material Price Library using fuzzy matching to find the closest matching library entry; (c) the fuzzy matching algorithm computes similarity using a weighted combination of Levenshtein distance on the normalized item name (weight 0.4), semantic embedding cosine similarity (weight 0.4), and category match bonus (weight 0.2); (d) matches with combined similarity score above 0.75 are considered valid; (e) all valid matches with their library prices are assembled into a pricing context block; (f) the pricing context block is injected into the AI estimation prompt with instructions to use contractor-specific pricing instead of generic defaults.</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When no library match is found for a material, the AI uses its default pricing. The system indicates in the output which line items used contractor-specific pricing and which used default pricing, with a percentage coverage metric (e.g., “73% of materials priced from your actual costs”).</w:t>
      </w:r>
    </w:p>
    <w:p>
      <w:pPr>
        <w:spacing w:before="240" w:after="120" w:line="480"/>
      </w:pPr>
      <w:r>
        <w:rPr>
          <w:rFonts w:ascii="Times New Roman" w:cs="Times New Roman" w:eastAsia="Times New Roman" w:hAnsi="Times New Roman"/>
          <w:b/>
          <w:bCs/>
          <w:i/>
          <w:iCs/>
          <w:sz w:val="24"/>
          <w:szCs w:val="24"/>
        </w:rPr>
        <w:t xml:space="preserve">7. Intelligence Dashboard</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system provides a visual dashboard displaying: top suppliers ranked by total spend, invoice count, and unique item count; per-material price trend charts showing price history over time with supplier color-coding; cross-supplier price comparison tables for common materials; and overall library statistics including total materials tracked, total invoices processed, and data freshness indicators.</w:t>
      </w:r>
    </w:p>
    <w:p>
      <w:r>
        <w:br w:type="page"/>
      </w:r>
    </w:p>
    <w:p>
      <w:pPr>
        <w:spacing w:before="360" w:after="240" w:line="480"/>
        <w:jc w:val="center"/>
      </w:pPr>
      <w:r>
        <w:rPr>
          <w:rFonts w:ascii="Times New Roman" w:cs="Times New Roman" w:eastAsia="Times New Roman" w:hAnsi="Times New Roman"/>
          <w:b/>
          <w:bCs/>
          <w:sz w:val="24"/>
          <w:szCs w:val="24"/>
          <w:u w:val="single"/>
        </w:rPr>
        <w:t xml:space="preserve">CLAIMS</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What is claimed is:</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computer-implemented method for building a contractor-specific material cost intelligence system comprising: receiving one or more documents through a unified upload interface; classifying each document by type using an AI classification model that distinguishes between construction estimates, supplier invoices, client invoices, architectural plans, and photographs, wherein the classification uses document-type-specific distinguishing features and provides a confidence score and classification reasoning; routing each classified document to a specialized parsing pipeline optimized for the identified document type; for documents classified as supplier invoices, extracting structured item data including descriptions, SKU numbers, categories, quantities, units of measure, and unit prices; normalizing extracted item descriptions and units to canonical forms using construction-domain-specific normalization rules including dimensional lumber format standardization, species code standardization, grade code standardization, and abbreviation expansion; aggregating normalized pricing data into a material price library that tracks average price, last price, minimum price, maximum price, and historical price data per material; and injecting library pricing data into subsequent AI estimation calls using fuzzy matching to identify library materials that approximate materials needed in a generated estimate.</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2. The method of claim 1, </w:t>
      </w:r>
      <w:r>
        <w:rPr>
          <w:rFonts w:ascii="Times New Roman" w:cs="Times New Roman" w:eastAsia="Times New Roman" w:hAnsi="Times New Roman"/>
          <w:b w:val="false"/>
          <w:bCs w:val="false"/>
          <w:i w:val="false"/>
          <w:iCs w:val="false"/>
          <w:color w:val="000000"/>
          <w:sz w:val="24"/>
          <w:szCs w:val="24"/>
        </w:rPr>
        <w:t xml:space="preserve">wherein the construction-domain-specific normalization rules comprise: dimensional lumber normalization that maps diverse supplier naming conventions to a canonical format of nominal dimension, product type, length, species, and grade; sheet goods normalization for plywood, OSB, and panel products; fastener normalization for nails, screws, and structural connectors; pipe normalization for copper, PVC, PEX, and cast iron piping; and electrical wire normalization for NM-B, UF-B, and THHN wire products.</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3. The method of claim 1, </w:t>
      </w:r>
      <w:r>
        <w:rPr>
          <w:rFonts w:ascii="Times New Roman" w:cs="Times New Roman" w:eastAsia="Times New Roman" w:hAnsi="Times New Roman"/>
          <w:b w:val="false"/>
          <w:bCs w:val="false"/>
          <w:i w:val="false"/>
          <w:iCs w:val="false"/>
          <w:color w:val="000000"/>
          <w:sz w:val="24"/>
          <w:szCs w:val="24"/>
        </w:rPr>
        <w:t xml:space="preserve">wherein the fuzzy matching computes similarity using a weighted combination of Levenshtein distance on normalized item names, semantic embedding cosine similarity, and category match bonus, and wherein matches with combined similarity score above a configurable threshold are considered valid for price injection.</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4. The method of claim 1, </w:t>
      </w:r>
      <w:r>
        <w:rPr>
          <w:rFonts w:ascii="Times New Roman" w:cs="Times New Roman" w:eastAsia="Times New Roman" w:hAnsi="Times New Roman"/>
          <w:b w:val="false"/>
          <w:bCs w:val="false"/>
          <w:i w:val="false"/>
          <w:iCs w:val="false"/>
          <w:color w:val="000000"/>
          <w:sz w:val="24"/>
          <w:szCs w:val="24"/>
        </w:rPr>
        <w:t xml:space="preserve">wherein the AI classification model uses document-type-specific distinguishing features comprising: for estimates, presence of categorized line items with markup percentages and subtotals; for supplier invoices, presence of supplier information, SKU numbers, and tax calculations; for architectural plans, presence of scale indicators, dimension lines, and title blocks; and provides confidence scoring with documents below a confidence threshold flagged for user confirmation.</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5. The method of claim 1, </w:t>
      </w:r>
      <w:r>
        <w:rPr>
          <w:rFonts w:ascii="Times New Roman" w:cs="Times New Roman" w:eastAsia="Times New Roman" w:hAnsi="Times New Roman"/>
          <w:b w:val="false"/>
          <w:bCs w:val="false"/>
          <w:i w:val="false"/>
          <w:iCs w:val="false"/>
          <w:color w:val="000000"/>
          <w:sz w:val="24"/>
          <w:szCs w:val="24"/>
        </w:rPr>
        <w:t xml:space="preserve">wherein extracted data from documents classified as estimates feeds into a Pricing DNA behavioral model and extracted data from documents classified as supplier invoices feeds into the material price library, both systems operating in parallel from the same unified upload interface.</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6. The method of claim 1, </w:t>
      </w:r>
      <w:r>
        <w:rPr>
          <w:rFonts w:ascii="Times New Roman" w:cs="Times New Roman" w:eastAsia="Times New Roman" w:hAnsi="Times New Roman"/>
          <w:b w:val="false"/>
          <w:bCs w:val="false"/>
          <w:i w:val="false"/>
          <w:iCs w:val="false"/>
          <w:color w:val="000000"/>
          <w:sz w:val="24"/>
          <w:szCs w:val="24"/>
        </w:rPr>
        <w:t xml:space="preserve">wherein the material price library identifies a best supplier for each material based on lowest average price over a configurable lookback period, and surfaces this information during estimate generation.</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7. The method of claim 1, </w:t>
      </w:r>
      <w:r>
        <w:rPr>
          <w:rFonts w:ascii="Times New Roman" w:cs="Times New Roman" w:eastAsia="Times New Roman" w:hAnsi="Times New Roman"/>
          <w:b w:val="false"/>
          <w:bCs w:val="false"/>
          <w:i w:val="false"/>
          <w:iCs w:val="false"/>
          <w:color w:val="000000"/>
          <w:sz w:val="24"/>
          <w:szCs w:val="24"/>
        </w:rPr>
        <w:t xml:space="preserve">wherein the system indicates in the estimation output which line items used contractor-specific pricing from the library and which used default pricing, together with a percentage coverage metric.</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8. </w:t>
      </w:r>
      <w:r>
        <w:rPr>
          <w:rFonts w:ascii="Times New Roman" w:cs="Times New Roman" w:eastAsia="Times New Roman" w:hAnsi="Times New Roman"/>
          <w:b w:val="false"/>
          <w:bCs w:val="false"/>
          <w:i w:val="false"/>
          <w:iCs w:val="false"/>
          <w:color w:val="000000"/>
          <w:sz w:val="24"/>
          <w:szCs w:val="24"/>
        </w:rPr>
        <w:t xml:space="preserve">A system for construction material price intelligence comprising: a unified upload interface accepting multiple document formats; an AI document classifier configured to distinguish construction document types using document-specific features with confidence scoring; a routing engine directing classified documents to specialized parsers; a supplier invoice parser extracting structured material item data; a construction-domain-specific normalization engine applying dimensional lumber standardization, abbreviation expansion, species code normalization, grade code normalization, and unit standardization to normalize item descriptions across suppliers; a material price library aggregating normalized pricing data with per-material price history, cross-supplier comparison, and best-supplier identification; and a fuzzy matching integration module configured to inject library pricing into AI estimation prompts using a weighted similarity algorithm combining string distance, semantic similarity, and category matching.</w:t>
      </w:r>
    </w:p>
    <w:p>
      <w:r>
        <w:br w:type="page"/>
      </w:r>
    </w:p>
    <w:p>
      <w:pPr>
        <w:spacing w:before="360" w:after="240" w:line="480"/>
        <w:jc w:val="center"/>
      </w:pPr>
      <w:r>
        <w:rPr>
          <w:rFonts w:ascii="Times New Roman" w:cs="Times New Roman" w:eastAsia="Times New Roman" w:hAnsi="Times New Roman"/>
          <w:b/>
          <w:bCs/>
          <w:sz w:val="24"/>
          <w:szCs w:val="24"/>
          <w:u w:val="single"/>
        </w:rPr>
        <w:t xml:space="preserve">ABSTRACT</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A computer-implemented system and method for processing construction documents through a unified upload interface with automatic AI classification routing to specialized parsing pipelines. For supplier invoices, the system extracts material item data and normalizes item descriptions across suppliers using construction-domain-specific rules including dimensional lumber format standardization, species and grade code normalization, and unit standardization. Normalized pricing data aggregates into a material price library tracking per-material price history and best-supplier identification. A fuzzy matching integration module injects contractor-specific library pricing into AI estimation calls using weighted similarity combining string distance, semantic embeddings, and category matching. The system enables AI-generated estimates to reflect a contractor’s actual material costs rather than generic database averages.</w:t>
      </w:r>
    </w:p>
    <w:p>
      <w:r>
        <w:br w:type="page"/>
      </w:r>
    </w:p>
    <w:p>
      <w:pPr>
        <w:spacing w:before="360" w:after="240" w:line="480"/>
        <w:jc w:val="center"/>
      </w:pPr>
      <w:r>
        <w:rPr>
          <w:rFonts w:ascii="Times New Roman" w:cs="Times New Roman" w:eastAsia="Times New Roman" w:hAnsi="Times New Roman"/>
          <w:b/>
          <w:bCs/>
          <w:sz w:val="24"/>
          <w:szCs w:val="24"/>
          <w:u w:val="single"/>
        </w:rPr>
        <w:t xml:space="preserve">INVENTOR'S DECLARATION</w:t>
      </w:r>
    </w:p>
    <w:p>
      <w:pPr>
        <w:spacing w:before="0" w:after="200" w:line="480"/>
        <w:jc w:val="left"/>
      </w:pPr>
      <w:r>
        <w:rPr>
          <w:rFonts w:ascii="Times New Roman" w:cs="Times New Roman" w:eastAsia="Times New Roman" w:hAnsi="Times New Roman"/>
          <w:b w:val="false"/>
          <w:bCs w:val="false"/>
          <w:i w:val="false"/>
          <w:iCs w:val="false"/>
          <w:color w:val="000000"/>
          <w:sz w:val="24"/>
          <w:szCs w:val="24"/>
        </w:rPr>
        <w:t xml:space="preserve">I, Dylan Langone, declare that:</w:t>
      </w:r>
    </w:p>
    <w:p>
      <w:pPr>
        <w:spacing w:before="0" w:after="150" w:line="480"/>
        <w:ind w:left="720"/>
        <w:jc w:val="left"/>
      </w:pPr>
      <w:r>
        <w:rPr>
          <w:rFonts w:ascii="Times New Roman" w:cs="Times New Roman" w:eastAsia="Times New Roman" w:hAnsi="Times New Roman"/>
          <w:b w:val="false"/>
          <w:bCs w:val="false"/>
          <w:i w:val="false"/>
          <w:iCs w:val="false"/>
          <w:color w:val="000000"/>
          <w:sz w:val="24"/>
          <w:szCs w:val="24"/>
        </w:rPr>
        <w:t xml:space="preserve">(1) I am the original and sole inventor of the subject matter which is claimed and for which a patent is sought in this provisional application;</w:t>
      </w:r>
    </w:p>
    <w:p>
      <w:pPr>
        <w:spacing w:before="0" w:after="150" w:line="480"/>
        <w:ind w:left="720"/>
        <w:jc w:val="left"/>
      </w:pPr>
      <w:r>
        <w:rPr>
          <w:rFonts w:ascii="Times New Roman" w:cs="Times New Roman" w:eastAsia="Times New Roman" w:hAnsi="Times New Roman"/>
          <w:b w:val="false"/>
          <w:bCs w:val="false"/>
          <w:i w:val="false"/>
          <w:iCs w:val="false"/>
          <w:color w:val="000000"/>
          <w:sz w:val="24"/>
          <w:szCs w:val="24"/>
        </w:rPr>
        <w:t xml:space="preserve">(2) I have reviewed and understand the contents of the above-identified specification, including the claims, as amended by any amendment specifically referred to herein;</w:t>
      </w:r>
    </w:p>
    <w:p>
      <w:pPr>
        <w:spacing w:before="0" w:after="150" w:line="480"/>
        <w:ind w:left="720"/>
        <w:jc w:val="left"/>
      </w:pPr>
      <w:r>
        <w:rPr>
          <w:rFonts w:ascii="Times New Roman" w:cs="Times New Roman" w:eastAsia="Times New Roman" w:hAnsi="Times New Roman"/>
          <w:b w:val="false"/>
          <w:bCs w:val="false"/>
          <w:i w:val="false"/>
          <w:iCs w:val="false"/>
          <w:color w:val="000000"/>
          <w:sz w:val="24"/>
          <w:szCs w:val="24"/>
        </w:rPr>
        <w:t xml:space="preserve">(3) I believe the subject matter claimed in this application to be novel and patentable;</w:t>
      </w:r>
    </w:p>
    <w:p>
      <w:pPr>
        <w:spacing w:before="0" w:after="150" w:line="480"/>
        <w:ind w:left="720"/>
        <w:jc w:val="left"/>
      </w:pPr>
      <w:r>
        <w:rPr>
          <w:rFonts w:ascii="Times New Roman" w:cs="Times New Roman" w:eastAsia="Times New Roman" w:hAnsi="Times New Roman"/>
          <w:b w:val="false"/>
          <w:bCs w:val="false"/>
          <w:i w:val="false"/>
          <w:iCs w:val="false"/>
          <w:color w:val="000000"/>
          <w:sz w:val="24"/>
          <w:szCs w:val="24"/>
        </w:rPr>
        <w:t xml:space="preserve">(4) I acknowledge my duty to disclose information which is material to patentability as defined in 37 CFR 1.56;</w:t>
      </w:r>
    </w:p>
    <w:p>
      <w:pPr>
        <w:spacing w:before="0" w:after="400" w:line="480"/>
        <w:ind w:left="720"/>
        <w:jc w:val="left"/>
      </w:pPr>
      <w:r>
        <w:rPr>
          <w:rFonts w:ascii="Times New Roman" w:cs="Times New Roman" w:eastAsia="Times New Roman" w:hAnsi="Times New Roman"/>
          <w:b w:val="false"/>
          <w:bCs w:val="false"/>
          <w:i w:val="false"/>
          <w:iCs w:val="false"/>
          <w:color w:val="000000"/>
          <w:sz w:val="24"/>
          <w:szCs w:val="24"/>
        </w:rPr>
        <w:t xml:space="preserve">(5) I hereby declare that all statements made herein of my own knowledge are true and that all statements made on information and belief are believed to be true.</w:t>
      </w:r>
    </w:p>
    <w:p>
      <w:pPr>
        <w:spacing w:before="0" w:after="200" w:line="480"/>
        <w:jc w:val="left"/>
      </w:pPr>
      <w:r>
        <w:rPr>
          <w:rFonts w:ascii="Times New Roman" w:cs="Times New Roman" w:eastAsia="Times New Roman" w:hAnsi="Times New Roman"/>
          <w:b w:val="false"/>
          <w:bCs w:val="false"/>
          <w:i w:val="false"/>
          <w:iCs w:val="false"/>
          <w:color w:val="000000"/>
          <w:sz w:val="24"/>
          <w:szCs w:val="24"/>
        </w:rPr>
        <w:t xml:space="preserve"/>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Inventor Signature: </w:t>
      </w:r>
      <w:r>
        <w:rPr>
          <w:rFonts w:ascii="Times New Roman" w:cs="Times New Roman" w:eastAsia="Times New Roman" w:hAnsi="Times New Roman"/>
          <w:b/>
          <w:bCs/>
          <w:i/>
          <w:iCs/>
          <w:color w:val="000000"/>
          <w:sz w:val="24"/>
          <w:szCs w:val="24"/>
        </w:rPr>
        <w:t xml:space="preserve">/Dylan Langone/</w:t>
      </w:r>
    </w:p>
    <w:p>
      <w:pPr>
        <w:spacing w:before="0" w:after="120" w:line="480"/>
        <w:jc w:val="left"/>
      </w:pPr>
      <w:r>
        <w:rPr>
          <w:rFonts w:ascii="Times New Roman" w:cs="Times New Roman" w:eastAsia="Times New Roman" w:hAnsi="Times New Roman"/>
          <w:b/>
          <w:bCs/>
          <w:i w:val="false"/>
          <w:iCs w:val="false"/>
          <w:color w:val="000000"/>
          <w:sz w:val="24"/>
          <w:szCs w:val="24"/>
        </w:rPr>
        <w:t xml:space="preserve">Printed Name: </w:t>
      </w:r>
      <w:r>
        <w:rPr>
          <w:rFonts w:ascii="Times New Roman" w:cs="Times New Roman" w:eastAsia="Times New Roman" w:hAnsi="Times New Roman"/>
          <w:b w:val="false"/>
          <w:bCs w:val="false"/>
          <w:i w:val="false"/>
          <w:iCs w:val="false"/>
          <w:color w:val="000000"/>
          <w:sz w:val="24"/>
          <w:szCs w:val="24"/>
        </w:rPr>
        <w:t xml:space="preserve">Dylan Langone</w:t>
      </w:r>
    </w:p>
    <w:p>
      <w:pPr>
        <w:spacing w:before="0" w:after="120" w:line="48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February 23, 2026</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
      </w:r>
    </w:p>
    <w:p>
      <w:pPr>
        <w:spacing w:before="0" w:after="120" w:line="480"/>
        <w:jc w:val="left"/>
      </w:pPr>
      <w:r>
        <w:rPr>
          <w:rFonts w:ascii="Times New Roman" w:cs="Times New Roman" w:eastAsia="Times New Roman" w:hAnsi="Times New Roman"/>
          <w:b/>
          <w:bCs/>
          <w:i w:val="false"/>
          <w:iCs w:val="false"/>
          <w:color w:val="000000"/>
          <w:sz w:val="24"/>
          <w:szCs w:val="24"/>
        </w:rPr>
        <w:t xml:space="preserve">Residence: </w:t>
      </w:r>
      <w:r>
        <w:rPr>
          <w:rFonts w:ascii="Times New Roman" w:cs="Times New Roman" w:eastAsia="Times New Roman" w:hAnsi="Times New Roman"/>
          <w:b w:val="false"/>
          <w:bCs w:val="false"/>
          <w:i w:val="false"/>
          <w:iCs w:val="false"/>
          <w:color w:val="000000"/>
          <w:sz w:val="24"/>
          <w:szCs w:val="24"/>
        </w:rPr>
        <w:t xml:space="preserve">621 Wakefield Rd, West Newfield, ME 04095</w:t>
      </w:r>
    </w:p>
    <w:p>
      <w:pPr>
        <w:spacing w:before="0" w:after="120" w:line="480"/>
        <w:jc w:val="left"/>
      </w:pPr>
      <w:r>
        <w:rPr>
          <w:rFonts w:ascii="Times New Roman" w:cs="Times New Roman" w:eastAsia="Times New Roman" w:hAnsi="Times New Roman"/>
          <w:b/>
          <w:bCs/>
          <w:i w:val="false"/>
          <w:iCs w:val="false"/>
          <w:color w:val="000000"/>
          <w:sz w:val="24"/>
          <w:szCs w:val="24"/>
        </w:rPr>
        <w:t xml:space="preserve">Citizenship: </w:t>
      </w:r>
      <w:r>
        <w:rPr>
          <w:rFonts w:ascii="Times New Roman" w:cs="Times New Roman" w:eastAsia="Times New Roman" w:hAnsi="Times New Roman"/>
          <w:b w:val="false"/>
          <w:bCs w:val="false"/>
          <w:i w:val="false"/>
          <w:iCs w:val="false"/>
          <w:color w:val="000000"/>
          <w:sz w:val="24"/>
          <w:szCs w:val="24"/>
        </w:rPr>
        <w:t xml:space="preserve">United States</w:t>
      </w:r>
    </w:p>
    <w:p>
      <w:r>
        <w:br w:type="page"/>
      </w:r>
    </w:p>
    <w:p>
      <w:pPr>
        <w:spacing w:before="360" w:after="240" w:line="480"/>
        <w:jc w:val="center"/>
      </w:pPr>
      <w:r>
        <w:rPr>
          <w:rFonts w:ascii="Times New Roman" w:cs="Times New Roman" w:eastAsia="Times New Roman" w:hAnsi="Times New Roman"/>
          <w:b/>
          <w:bCs/>
          <w:sz w:val="24"/>
          <w:szCs w:val="24"/>
          <w:u w:val="single"/>
        </w:rPr>
        <w:t xml:space="preserve">SIGNATURE PAGE</w:t>
      </w:r>
    </w:p>
    <w:p>
      <w:pPr>
        <w:spacing w:before="0" w:after="400" w:line="480"/>
        <w:jc w:val="left"/>
      </w:pPr>
      <w:r>
        <w:rPr>
          <w:rFonts w:ascii="Times New Roman" w:cs="Times New Roman" w:eastAsia="Times New Roman" w:hAnsi="Times New Roman"/>
          <w:b w:val="false"/>
          <w:bCs w:val="false"/>
          <w:i w:val="false"/>
          <w:iCs w:val="false"/>
          <w:color w:val="000000"/>
          <w:sz w:val="24"/>
          <w:szCs w:val="24"/>
        </w:rPr>
        <w:t xml:space="preserve">I hereby declare that all statements made herein of my own knowledge are true and that all statements made on information and belief are believed to be true; and further that these statements were made with the knowledge that willful false statements and the like so made are punishable by fine or imprisonment, or both, under Section 1001 of Title 18 of the United States Code and that such willful false statements may jeopardize the validity of the application or any patent issued thereon.</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
      </w:r>
    </w:p>
    <w:p>
      <w:pPr>
        <w:spacing w:before="0" w:after="120" w:line="480"/>
        <w:jc w:val="left"/>
      </w:pPr>
      <w:r>
        <w:rPr>
          <w:rFonts w:ascii="Times New Roman" w:cs="Times New Roman" w:eastAsia="Times New Roman" w:hAnsi="Times New Roman"/>
          <w:b/>
          <w:bCs/>
          <w:i w:val="false"/>
          <w:iCs w:val="false"/>
          <w:color w:val="000000"/>
          <w:sz w:val="24"/>
          <w:szCs w:val="24"/>
        </w:rPr>
        <w:t xml:space="preserve">Signature: </w:t>
      </w:r>
      <w:r>
        <w:rPr>
          <w:rFonts w:ascii="Times New Roman" w:cs="Times New Roman" w:eastAsia="Times New Roman" w:hAnsi="Times New Roman"/>
          <w:b/>
          <w:bCs/>
          <w:i/>
          <w:iCs/>
          <w:color w:val="000000"/>
          <w:sz w:val="24"/>
          <w:szCs w:val="24"/>
        </w:rPr>
        <w:t xml:space="preserve">/Dylan Langone/</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
      </w:r>
    </w:p>
    <w:p>
      <w:pPr>
        <w:spacing w:before="0" w:after="120" w:line="480"/>
        <w:jc w:val="left"/>
      </w:pPr>
      <w:r>
        <w:rPr>
          <w:rFonts w:ascii="Times New Roman" w:cs="Times New Roman" w:eastAsia="Times New Roman" w:hAnsi="Times New Roman"/>
          <w:b/>
          <w:bCs/>
          <w:i w:val="false"/>
          <w:iCs w:val="false"/>
          <w:color w:val="000000"/>
          <w:sz w:val="24"/>
          <w:szCs w:val="24"/>
        </w:rPr>
        <w:t xml:space="preserve">Full Name: </w:t>
      </w:r>
      <w:r>
        <w:rPr>
          <w:rFonts w:ascii="Times New Roman" w:cs="Times New Roman" w:eastAsia="Times New Roman" w:hAnsi="Times New Roman"/>
          <w:b w:val="false"/>
          <w:bCs w:val="false"/>
          <w:i w:val="false"/>
          <w:iCs w:val="false"/>
          <w:color w:val="000000"/>
          <w:sz w:val="24"/>
          <w:szCs w:val="24"/>
        </w:rPr>
        <w:t xml:space="preserve">Dylan Langone</w:t>
      </w:r>
    </w:p>
    <w:p>
      <w:pPr>
        <w:spacing w:before="0" w:after="120" w:line="48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February 23, 2026</w:t>
      </w:r>
    </w:p>
    <w:p>
      <w:pPr>
        <w:spacing w:before="0" w:after="120" w:line="480"/>
        <w:jc w:val="left"/>
      </w:pPr>
      <w:r>
        <w:rPr>
          <w:rFonts w:ascii="Times New Roman" w:cs="Times New Roman" w:eastAsia="Times New Roman" w:hAnsi="Times New Roman"/>
          <w:b/>
          <w:bCs/>
          <w:i w:val="false"/>
          <w:iCs w:val="false"/>
          <w:color w:val="000000"/>
          <w:sz w:val="24"/>
          <w:szCs w:val="24"/>
        </w:rPr>
        <w:t xml:space="preserve">Address: </w:t>
      </w:r>
      <w:r>
        <w:rPr>
          <w:rFonts w:ascii="Times New Roman" w:cs="Times New Roman" w:eastAsia="Times New Roman" w:hAnsi="Times New Roman"/>
          <w:b w:val="false"/>
          <w:bCs w:val="false"/>
          <w:i w:val="false"/>
          <w:iCs w:val="false"/>
          <w:color w:val="000000"/>
          <w:sz w:val="24"/>
          <w:szCs w:val="24"/>
        </w:rPr>
        <w:t xml:space="preserve">621 Wakefield Rd, West Newfield, ME 04095</w:t>
      </w:r>
    </w:p>
    <w:p>
      <w:pPr>
        <w:spacing w:before="0" w:after="120" w:line="480"/>
        <w:jc w:val="left"/>
      </w:pPr>
      <w:r>
        <w:rPr>
          <w:rFonts w:ascii="Times New Roman" w:cs="Times New Roman" w:eastAsia="Times New Roman" w:hAnsi="Times New Roman"/>
          <w:b/>
          <w:bCs/>
          <w:i w:val="false"/>
          <w:iCs w:val="false"/>
          <w:color w:val="000000"/>
          <w:sz w:val="24"/>
          <w:szCs w:val="24"/>
        </w:rPr>
        <w:t xml:space="preserve">Citizenship: </w:t>
      </w:r>
      <w:r>
        <w:rPr>
          <w:rFonts w:ascii="Times New Roman" w:cs="Times New Roman" w:eastAsia="Times New Roman" w:hAnsi="Times New Roman"/>
          <w:b w:val="false"/>
          <w:bCs w:val="false"/>
          <w:i w:val="false"/>
          <w:iCs w:val="false"/>
          <w:color w:val="000000"/>
          <w:sz w:val="24"/>
          <w:szCs w:val="24"/>
        </w:rPr>
        <w:t xml:space="preserve">United States of America</w:t>
      </w:r>
    </w:p>
    <w:p>
      <w:pPr>
        <w:spacing w:before="0" w:after="120" w:line="480"/>
        <w:jc w:val="left"/>
      </w:pPr>
      <w:r>
        <w:rPr>
          <w:rFonts w:ascii="Times New Roman" w:cs="Times New Roman" w:eastAsia="Times New Roman" w:hAnsi="Times New Roman"/>
          <w:b/>
          <w:bCs/>
          <w:i w:val="false"/>
          <w:iCs w:val="false"/>
          <w:color w:val="000000"/>
          <w:sz w:val="24"/>
          <w:szCs w:val="24"/>
        </w:rPr>
        <w:t xml:space="preserve">Entity Status: </w:t>
      </w:r>
      <w:r>
        <w:rPr>
          <w:rFonts w:ascii="Times New Roman" w:cs="Times New Roman" w:eastAsia="Times New Roman" w:hAnsi="Times New Roman"/>
          <w:b w:val="false"/>
          <w:bCs w:val="false"/>
          <w:i w:val="false"/>
          <w:iCs w:val="false"/>
          <w:color w:val="000000"/>
          <w:sz w:val="24"/>
          <w:szCs w:val="24"/>
        </w:rPr>
        <w:t xml:space="preserve">Small Entity (37 CFR 1.27)</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Page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99999"/>
        <w:sz w:val="18"/>
        <w:szCs w:val="18"/>
      </w:rPr>
      <w:t xml:space="preserve">Docket: EAP-2026-002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2026-02-23T20:28:47.656Z</dcterms:created>
  <dcterms:modified xsi:type="dcterms:W3CDTF">2026-02-23T20:28:47.657Z</dcterms:modified>
</cp:coreProperties>
</file>

<file path=docProps/custom.xml><?xml version="1.0" encoding="utf-8"?>
<Properties xmlns="http://schemas.openxmlformats.org/officeDocument/2006/custom-properties" xmlns:vt="http://schemas.openxmlformats.org/officeDocument/2006/docPropsVTypes"/>
</file>