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line="276"/>
        <w:jc w:val="center"/>
      </w:pPr>
      <w:r>
        <w:rPr>
          <w:rFonts w:ascii="Times New Roman" w:cs="Times New Roman" w:eastAsia="Times New Roman" w:hAnsi="Times New Roman"/>
          <w:b/>
          <w:bCs/>
          <w:i w:val="false"/>
          <w:iCs w:val="false"/>
          <w:color w:val="000000"/>
          <w:sz w:val="28"/>
          <w:szCs w:val="28"/>
        </w:rPr>
        <w:t xml:space="preserve">UNITED STATES PATENT AND TRADEMARK OFFICE</w:t>
      </w:r>
    </w:p>
    <w:p>
      <w:pPr>
        <w:spacing w:before="0" w:after="200" w:line="276"/>
        <w:jc w:val="center"/>
      </w:pPr>
      <w:r>
        <w:rPr>
          <w:rFonts w:ascii="Times New Roman" w:cs="Times New Roman" w:eastAsia="Times New Roman" w:hAnsi="Times New Roman"/>
          <w:b w:val="false"/>
          <w:bCs w:val="false"/>
          <w:i w:val="false"/>
          <w:iCs w:val="false"/>
          <w:color w:val="999999"/>
          <w:sz w:val="24"/>
          <w:szCs w:val="24"/>
        </w:rPr>
        <w:t xml:space="preserve">──────────────────────────────────────────────────</w:t>
      </w:r>
    </w:p>
    <w:p>
      <w:pPr>
        <w:spacing w:before="0" w:after="60" w:line="276"/>
        <w:jc w:val="center"/>
      </w:pPr>
      <w:r>
        <w:rPr>
          <w:rFonts w:ascii="Times New Roman" w:cs="Times New Roman" w:eastAsia="Times New Roman" w:hAnsi="Times New Roman"/>
          <w:b/>
          <w:bCs/>
          <w:i w:val="false"/>
          <w:iCs w:val="false"/>
          <w:color w:val="000000"/>
          <w:sz w:val="26"/>
          <w:szCs w:val="26"/>
        </w:rPr>
        <w:t xml:space="preserve">PROVISIONAL APPLICATION FOR PATENT COVER SHEET</w:t>
      </w:r>
    </w:p>
    <w:p>
      <w:pPr>
        <w:spacing w:before="0" w:after="400" w:line="276"/>
        <w:jc w:val="center"/>
      </w:pPr>
      <w:r>
        <w:rPr>
          <w:rFonts w:ascii="Times New Roman" w:cs="Times New Roman" w:eastAsia="Times New Roman" w:hAnsi="Times New Roman"/>
          <w:b w:val="false"/>
          <w:bCs w:val="false"/>
          <w:i w:val="false"/>
          <w:iCs w:val="false"/>
          <w:color w:val="000000"/>
          <w:sz w:val="20"/>
          <w:szCs w:val="20"/>
        </w:rPr>
        <w:t xml:space="preserve">(37 CFR 1.53(c))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 OF INVENTION: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System and Method for Automatically Designing Unique Contractor-Specific Branded Document Templates Through AI Vision Analysis and Trade-Contextualized Design Intelligence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INVENTOR: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Dylan Langone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RESIDENCE: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621 Wakefield Rd, West Newfield, ME 04095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CITIZENSHIP: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United States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ENTITY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Small Entity (37 CFR 1.27)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FEE: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$130.00 (Small Entity — 37 CFR 1.16(d))</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DOCKET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EAP-2026-003</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be assigned by USPTO]</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DATE: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[Date of Filing]</w:t>
            </w:r>
          </w:p>
        </w:tc>
      </w:tr>
    </w:tbl>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60" w:line="276"/>
        <w:jc w:val="left"/>
      </w:pPr>
      <w:r>
        <w:rPr>
          <w:rFonts w:ascii="Times New Roman" w:cs="Times New Roman" w:eastAsia="Times New Roman" w:hAnsi="Times New Roman"/>
          <w:b/>
          <w:bCs/>
          <w:i w:val="false"/>
          <w:iCs w:val="false"/>
          <w:color w:val="000000"/>
          <w:sz w:val="24"/>
          <w:szCs w:val="24"/>
        </w:rPr>
        <w:t xml:space="preserve">CORRESPONDENCE ADDRESS:</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621 Wakefield Rd</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West Newfield, ME 04095</w:t>
      </w:r>
    </w:p>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United States</w:t>
      </w:r>
    </w:p>
    <w:p>
      <w:pPr>
        <w:spacing w:before="0" w:after="200" w:line="276"/>
        <w:jc w:val="left"/>
      </w:pPr>
      <w:r>
        <w:rPr>
          <w:rFonts w:ascii="Times New Roman" w:cs="Times New Roman" w:eastAsia="Times New Roman" w:hAnsi="Times New Roman"/>
          <w:b/>
          <w:bCs/>
          <w:i w:val="false"/>
          <w:iCs w:val="false"/>
          <w:color w:val="000000"/>
          <w:sz w:val="24"/>
          <w:szCs w:val="24"/>
        </w:rPr>
        <w:t xml:space="preserve">CLASSIFICATION: </w:t>
      </w:r>
      <w:r>
        <w:rPr>
          <w:rFonts w:ascii="Times New Roman" w:cs="Times New Roman" w:eastAsia="Times New Roman" w:hAnsi="Times New Roman"/>
          <w:b w:val="false"/>
          <w:bCs w:val="false"/>
          <w:i w:val="false"/>
          <w:iCs w:val="false"/>
          <w:color w:val="000000"/>
          <w:sz w:val="24"/>
          <w:szCs w:val="24"/>
        </w:rPr>
        <w:t xml:space="preserve">G06T 11/60; G06Q 50/08; G06N 20/00; B41J 21/00</w:t>
      </w:r>
    </w:p>
    <w:p>
      <w:pPr>
        <w:spacing w:before="0" w:after="200" w:line="276"/>
        <w:jc w:val="left"/>
      </w:pPr>
      <w:r>
        <w:rPr>
          <w:rFonts w:ascii="Times New Roman" w:cs="Times New Roman" w:eastAsia="Times New Roman" w:hAnsi="Times New Roman"/>
          <w:b/>
          <w:bCs/>
          <w:i w:val="false"/>
          <w:iCs w:val="false"/>
          <w:color w:val="000000"/>
          <w:sz w:val="24"/>
          <w:szCs w:val="24"/>
        </w:rPr>
        <w:t xml:space="preserve">RELATED APPLICATIONS: </w:t>
      </w:r>
      <w:r>
        <w:rPr>
          <w:rFonts w:ascii="Times New Roman" w:cs="Times New Roman" w:eastAsia="Times New Roman" w:hAnsi="Times New Roman"/>
          <w:b w:val="false"/>
          <w:bCs w:val="false"/>
          <w:i w:val="false"/>
          <w:iCs w:val="false"/>
          <w:color w:val="000000"/>
          <w:sz w:val="24"/>
          <w:szCs w:val="24"/>
        </w:rPr>
        <w:t xml:space="preserve">Co-pending provisional applications EAP-2026-001, EAP-2026-002, EAP-2026-004, and EAP-2026-005, filed concurrently.</w:t>
      </w:r>
    </w:p>
    <w:p>
      <w:pPr>
        <w:spacing w:before="0" w:after="2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276"/>
        <w:jc w:val="left"/>
      </w:pPr>
      <w:r>
        <w:rPr>
          <w:rFonts w:ascii="Times New Roman" w:cs="Times New Roman" w:eastAsia="Times New Roman" w:hAnsi="Times New Roman"/>
          <w:b w:val="false"/>
          <w:bCs w:val="false"/>
          <w:i/>
          <w:iCs/>
          <w:color w:val="000000"/>
          <w:sz w:val="20"/>
          <w:szCs w:val="20"/>
        </w:rPr>
        <w:t xml:space="preserve">This application claims the benefit of the filing date under 35 U.S.C. 111(b).</w:t>
      </w:r>
    </w:p>
    <w:p>
      <w:r>
        <w:br w:type="page"/>
      </w:r>
    </w:p>
    <w:p>
      <w:pPr>
        <w:spacing w:before="360" w:after="240" w:line="480"/>
        <w:jc w:val="center"/>
      </w:pPr>
      <w:r>
        <w:rPr>
          <w:rFonts w:ascii="Times New Roman" w:cs="Times New Roman" w:eastAsia="Times New Roman" w:hAnsi="Times New Roman"/>
          <w:b/>
          <w:bCs/>
          <w:sz w:val="24"/>
          <w:szCs w:val="24"/>
          <w:u w:val="single"/>
        </w:rPr>
        <w:t xml:space="preserve">SPECIFICATION</w:t>
      </w:r>
    </w:p>
    <w:p>
      <w:pPr>
        <w:spacing w:before="0" w:after="300" w:line="480"/>
        <w:jc w:val="center"/>
      </w:pPr>
      <w:r>
        <w:rPr>
          <w:rFonts w:ascii="Times New Roman" w:cs="Times New Roman" w:eastAsia="Times New Roman" w:hAnsi="Times New Roman"/>
          <w:b/>
          <w:bCs/>
          <w:i w:val="false"/>
          <w:iCs w:val="false"/>
          <w:color w:val="000000"/>
          <w:sz w:val="24"/>
          <w:szCs w:val="24"/>
        </w:rPr>
        <w:t xml:space="preserve">System and Method for Automatically Designing Unique Contractor-Specific Branded Document Templates Through AI Vision Analysis of Brand Assets and Trade-Contextualized Design Intelligence</w:t>
      </w:r>
    </w:p>
    <w:p>
      <w:pPr>
        <w:spacing w:before="360" w:after="240" w:line="480"/>
      </w:pPr>
      <w:r>
        <w:rPr>
          <w:rFonts w:ascii="Times New Roman" w:cs="Times New Roman" w:eastAsia="Times New Roman" w:hAnsi="Times New Roman"/>
          <w:b/>
          <w:bCs/>
          <w:sz w:val="24"/>
          <w:szCs w:val="24"/>
        </w:rPr>
        <w:t xml:space="preserve">CROSS-REFERENCE TO RELATED APPLICATIONS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application is related to co-pending provisional patent applications filed concurrently herewith by the same inventor, including applications directed to a Persistent Multi-Layer Correction Training System, a Unified Construction Document Intelligence Pipeline, an AI-Generated Multi-Section Construction Proposal Engine, and an Integrated Contractor Intelligence Center.</w:t>
      </w:r>
    </w:p>
    <w:p>
      <w:pPr>
        <w:spacing w:before="360" w:after="240" w:line="480"/>
      </w:pPr>
      <w:r>
        <w:rPr>
          <w:rFonts w:ascii="Times New Roman" w:cs="Times New Roman" w:eastAsia="Times New Roman" w:hAnsi="Times New Roman"/>
          <w:b/>
          <w:bCs/>
          <w:sz w:val="24"/>
          <w:szCs w:val="24"/>
        </w:rPr>
        <w:t xml:space="preserve">FIELD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relates to automated document design systems, and more particularly to a system and method for automatically designing a complete, unique branded document template for a construction contractor by analyzing the contractor’s logo image using AI vision to extract brand attributes, combining those attributes with the contractor’s trade specialty and business profile, and generating an integrated visual design system that produces documents unique to each contractor without requiring graphic design expertise.</w:t>
      </w:r>
    </w:p>
    <w:p>
      <w:pPr>
        <w:spacing w:before="360" w:after="240" w:line="480"/>
      </w:pPr>
      <w:r>
        <w:rPr>
          <w:rFonts w:ascii="Times New Roman" w:cs="Times New Roman" w:eastAsia="Times New Roman" w:hAnsi="Times New Roman"/>
          <w:b/>
          <w:bCs/>
          <w:sz w:val="24"/>
          <w:szCs w:val="24"/>
        </w:rPr>
        <w:t xml:space="preserve">BACKGROUND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Construction contractors require professional-looking estimates, proposals, and invoices to compete for high-value projects. The quality and professionalism of a contractor’s documents directly influences client perception and win rates. However, most contractors lack graphic design expertise and budget for professional branding services.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Existing solutions fall into two categories. First, generic template systems where the user uploads a logo that is placed in a predetermined position on a pre-designed template. These systems produce identical-looking documents for all users, differing only in the logo. Second, template marketplaces requiring the user to browse, select, and manually customize a pre-made design, requiring design judgment the user may not possess.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AI-powered design tools such as Canva Magic Design and Adobe Firefly can generate designs from text prompts, but these tools: (a) do not analyze existing brand assets to extract design parameters; (b) do not incorporate trade specialty context to inform design style; (c) generate individual assets rather than complete, integrated document template systems with coordinated header, body, table, and footer styling; and (d) require the user to make design decisions about typography, layout, and color application.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Tools such as Brandmark.io and Looka extract colors from logos for the purpose of logo creation or brand guideline generation, but do not use extracted brand attributes to generate functional document templates.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No existing system combines AI vision analysis of a contractor’s logo with trade specialty context and business profile data to automatically generate a complete, unique, integrated document template system without requiring any design decisions from the user.</w:t>
      </w:r>
    </w:p>
    <w:p>
      <w:pPr>
        <w:spacing w:before="360" w:after="240" w:line="480"/>
      </w:pPr>
      <w:r>
        <w:rPr>
          <w:rFonts w:ascii="Times New Roman" w:cs="Times New Roman" w:eastAsia="Times New Roman" w:hAnsi="Times New Roman"/>
          <w:b/>
          <w:bCs/>
          <w:sz w:val="24"/>
          <w:szCs w:val="24"/>
        </w:rPr>
        <w:t xml:space="preserve">BRIEF SUMMARY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that receives a contractor’s logo image, analyzes it using an AI vision model to extract brand colors, design style classification, and visual characteristics, combines the extracted brand data with the contractor’s declared trade specialties, years in business, team size, and company description, and generates through an AI design model a complete document template configuration that is unique to each contractor. The generated template specifies header layout and component placement, primary and secondary typography from available web font libraries, accent patterns, color assignments for every document element, table styling including category header treatment, totals section presentation, and footer layout. The template produces a cohesive, professional visual identity that would typically require engagement of a professional branding agency.</w:t>
      </w:r>
    </w:p>
    <w:p>
      <w:pPr>
        <w:spacing w:before="360" w:after="240" w:line="480"/>
      </w:pPr>
      <w:r>
        <w:rPr>
          <w:rFonts w:ascii="Times New Roman" w:cs="Times New Roman" w:eastAsia="Times New Roman" w:hAnsi="Times New Roman"/>
          <w:b/>
          <w:bCs/>
          <w:sz w:val="24"/>
          <w:szCs w:val="24"/>
        </w:rPr>
        <w:t xml:space="preserve">DETAILED DESCRIPTION OF PREFERRED EMBODIMENTS</w:t>
      </w:r>
    </w:p>
    <w:p>
      <w:pPr>
        <w:spacing w:before="240" w:after="120" w:line="480"/>
      </w:pPr>
      <w:r>
        <w:rPr>
          <w:rFonts w:ascii="Times New Roman" w:cs="Times New Roman" w:eastAsia="Times New Roman" w:hAnsi="Times New Roman"/>
          <w:b/>
          <w:bCs/>
          <w:i/>
          <w:iCs/>
          <w:sz w:val="24"/>
          <w:szCs w:val="24"/>
        </w:rPr>
        <w:t xml:space="preserve">1. Brand Asset Collection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receives the following inputs from the contractor: (a) a company logo image in PNG, JPG, SVG, or WebP format; (b) company information including company name, tagline (if any), phone number, email address, website URL, license number, and insurance information; and (c) trade specialty selections from the onboarding process.</w:t>
      </w:r>
    </w:p>
    <w:p>
      <w:pPr>
        <w:spacing w:before="240" w:after="120" w:line="480"/>
      </w:pPr>
      <w:r>
        <w:rPr>
          <w:rFonts w:ascii="Times New Roman" w:cs="Times New Roman" w:eastAsia="Times New Roman" w:hAnsi="Times New Roman"/>
          <w:b/>
          <w:bCs/>
          <w:i/>
          <w:iCs/>
          <w:sz w:val="24"/>
          <w:szCs w:val="24"/>
        </w:rPr>
        <w:t xml:space="preserve">2. AI Vision Analysis of Logo</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uploaded logo is submitted to an AI vision model that performs the following extraction:</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Primary Brand Color: The dominant color in the logo, extracted as a hex value. The vision model identifies the color that occupies the largest visual area or carries the most visual weight.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Accent Color: A secondary color present in the logo, extracted as a hex value. If the logo is monochromatic, the accent color is derived by the AI design model in the subsequent step.</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Dark Variant: A darker shade of the primary color suitable for text and headers, ensuring sufficient contrast against white backgrounds.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Light Variant: A lighter tint of the primary color suitable for background shading and subtle accents.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Style Classification: The AI vision model classifies the overall visual style of the logo into one of the following categories based on characteristics such as geometry, line weight, color saturation, and design complexity: MODERN (clean lines, geometric shapes, bright or saturated colors), CLASSIC (serif elements, traditional composition, subdued colors), BOLD (thick strokes, high contrast, strong visual weight), RUSTIC (natural textures, earth tones, organic shapes), MINIMAL (simple geometry, limited palette, generous whitespace), or INDUSTRIAL (utilitarian design, monochromatic or limited palette, angular elements).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Industry Inference: The vision model infers the likely industry from visual cues in the logo (e.g., house silhouette suggests residential construction, gear icon suggests mechanical trades).</w:t>
      </w:r>
    </w:p>
    <w:p>
      <w:pPr>
        <w:spacing w:before="240" w:after="120" w:line="480"/>
      </w:pPr>
      <w:r>
        <w:rPr>
          <w:rFonts w:ascii="Times New Roman" w:cs="Times New Roman" w:eastAsia="Times New Roman" w:hAnsi="Times New Roman"/>
          <w:b/>
          <w:bCs/>
          <w:i/>
          <w:iCs/>
          <w:sz w:val="24"/>
          <w:szCs w:val="24"/>
        </w:rPr>
        <w:t xml:space="preserve">3. Trade-to-Design Style Mapping</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contractor’s trade specialty informs the design generation through trade-specific style affinities. The system maintains the following mapping between trades and design tendencies: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General Contractor/Builder: Versatile, professional; favors MODERN or CLASSIC styles with authoritative typography.</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Plumbing: Technical, reliable; favors INDUSTRIAL or BOLD with clean sans-serif fonts.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Electrical: Precision, modern; favors MODERN or MINIMAL with technical typography.</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HVAC: Technical, substantial; favors BOLD or INDUSTRIAL with structured layouts.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Roofing: Durable, bold; favors BOLD or INDUSTRIAL with high-contrast elements.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Painting: Creative, refined; favors MODERN or MINIMAL with elegant typography.</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Carpentry/Framing: Craftsmanship, natural; favors RUSTIC or CLASSIC with warm tones.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Landscaping/Excavation: Natural, organic; favors RUSTIC with earth-tone palettes.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Remodeling/Renovation: Transformative, before/after; favors MODERN with dynamic accents.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Commercial Construction: Corporate, substantial; favors CLASSIC or BOLD with authoritative presence.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trade-to-design mapping serves as a soft influence on the AI design model, not a rigid constraint. The AI design model weighs the trade affinity alongside the extracted logo style to produce a harmonious result.</w:t>
      </w:r>
    </w:p>
    <w:p>
      <w:pPr>
        <w:spacing w:before="240" w:after="120" w:line="480"/>
      </w:pPr>
      <w:r>
        <w:rPr>
          <w:rFonts w:ascii="Times New Roman" w:cs="Times New Roman" w:eastAsia="Times New Roman" w:hAnsi="Times New Roman"/>
          <w:b/>
          <w:bCs/>
          <w:i/>
          <w:iCs/>
          <w:sz w:val="24"/>
          <w:szCs w:val="24"/>
        </w:rPr>
        <w:t xml:space="preserve">4. AI Template Design Generation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An AI design model receives the combined context (extracted brand attributes, trade specialties, business profile) and generates a complete template configuration specifying the following parameters: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Header Configuration: Selection from header styles including modern bar (full-width colored bar with logo), classic centered (centered logo with subtle underline), bold sidebar (vertical accent bar with horizontally aligned elements), accent stripe (thin accent line with offset logo), and minimal line (single hairline rule with compact elements). Component visibility toggles for company name, tagline, phone, email, website, license, and insurance.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Typography: Selection of primary font (for headings and emphasis) and secondary font (for body text and line items) from Google Fonts library, with specific weight assignments. The selection considers readability at small sizes for estimate line items and professional appearance for headings.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Layout Style: Selection from clean minimal, corporate bold, craftsman warm, modern edge, and classic professional, each defining spacing proportions, border treatments, and visual density.</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Accent Pattern: Selection from solid (single color blocks), gradient (primary-to-accent gradient), geometric (repeated geometric shapes in brand color), line accent (thin accent lines), and corner marks (decorative corner elements).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Color Application Map: Specific hex values assigned to: header background, header text, category headers, category header text, table borders, table alternating row shading, totals section background, totals text, footer background, footer text, and accent elements.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Table Styling: Category header treatment (full-width colored bar, left-border accent, or underlined), line item row styling (alternating shading or uniform), column alignment rules, and totals section presentation (boxed, ruled, or highlighted).</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Footer Configuration: Layout style and content selection including company info, license/insurance, custom message, and page numbering.</w:t>
      </w:r>
    </w:p>
    <w:p>
      <w:pPr>
        <w:spacing w:before="240" w:after="120" w:line="480"/>
      </w:pPr>
      <w:r>
        <w:rPr>
          <w:rFonts w:ascii="Times New Roman" w:cs="Times New Roman" w:eastAsia="Times New Roman" w:hAnsi="Times New Roman"/>
          <w:b/>
          <w:bCs/>
          <w:i/>
          <w:iCs/>
          <w:sz w:val="24"/>
          <w:szCs w:val="24"/>
        </w:rPr>
        <w:t xml:space="preserve">5. Template Uniqueness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Because the template configuration is generated from the specific combination of the contractor’s extracted brand attributes, trade specialty, and business profile, each contractor receives a unique template that differs from every other contractor’s template. Unlike conventional template systems where all users share the same design with different logos inserted, the present system generates different header styles, typography combinations, color application patterns, accent treatments, and layout structures for different contractors. Two contractors in the same trade with different logos will receive different templates; two contractors with similar logos but different trades will receive different templates.</w:t>
      </w:r>
    </w:p>
    <w:p>
      <w:pPr>
        <w:spacing w:before="240" w:after="120" w:line="480"/>
      </w:pPr>
      <w:r>
        <w:rPr>
          <w:rFonts w:ascii="Times New Roman" w:cs="Times New Roman" w:eastAsia="Times New Roman" w:hAnsi="Times New Roman"/>
          <w:b/>
          <w:bCs/>
          <w:i/>
          <w:iCs/>
          <w:sz w:val="24"/>
          <w:szCs w:val="24"/>
        </w:rPr>
        <w:t xml:space="preserve">6. Template Application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generated template configuration is persistently stored and applied to all document outputs produced by the system including estimates, proposals, invoices, and any other generated documents. This ensures consistent branded presentation across all contractor communications.</w:t>
      </w:r>
    </w:p>
    <w:p>
      <w:r>
        <w:br w:type="page"/>
      </w:r>
    </w:p>
    <w:p>
      <w:pPr>
        <w:spacing w:before="360" w:after="240" w:line="480"/>
        <w:jc w:val="center"/>
      </w:pPr>
      <w:r>
        <w:rPr>
          <w:rFonts w:ascii="Times New Roman" w:cs="Times New Roman" w:eastAsia="Times New Roman" w:hAnsi="Times New Roman"/>
          <w:b/>
          <w:bCs/>
          <w:sz w:val="24"/>
          <w:szCs w:val="24"/>
          <w:u w:val="single"/>
        </w:rPr>
        <w:t xml:space="preserve">CLAIMS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What is claimed is: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computer-implemented method for automatically designing a branded document template that is unique to each contractor comprising: receiving a logo image from a user; analyzing the logo using an AI vision model to extract a primary brand color, an accent color, dark and light color variants, and a style classification categorizing the logo’s visual characteristics; combining the extracted brand data with the user’s declared trade specialty, years in business, team size, and company profile information; generating a complete document template configuration through an AI design model, said configuration specifying header layout style, primary and secondary typography, accent pattern, color assignments for all document elements including header, category headers, table borders, alternating row shading, totals section, and footer, table styling with category header treatment, and footer layout; and applying said configuration to all subsequent document outputs produced by the system, wherein the generated template is unique to each contractor as a function of their specific combination of brand attributes, trade specialty, and business profile rather than a shared template with logo substitution.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2. The method of claim 1, </w:t>
      </w:r>
      <w:r>
        <w:rPr>
          <w:rFonts w:ascii="Times New Roman" w:cs="Times New Roman" w:eastAsia="Times New Roman" w:hAnsi="Times New Roman"/>
          <w:b w:val="false"/>
          <w:bCs w:val="false"/>
          <w:i w:val="false"/>
          <w:iCs w:val="false"/>
          <w:color w:val="000000"/>
          <w:sz w:val="24"/>
          <w:szCs w:val="24"/>
        </w:rPr>
        <w:t xml:space="preserve">wherein the AI vision model classifies the logo’s visual style into one of at least six categories comprising modern, classic, bold, rustic, minimal, and industrial based on characteristics including geometry, line weight, color saturation, and design complexity.</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3. The method of claim 1, </w:t>
      </w:r>
      <w:r>
        <w:rPr>
          <w:rFonts w:ascii="Times New Roman" w:cs="Times New Roman" w:eastAsia="Times New Roman" w:hAnsi="Times New Roman"/>
          <w:b w:val="false"/>
          <w:bCs w:val="false"/>
          <w:i w:val="false"/>
          <w:iCs w:val="false"/>
          <w:color w:val="000000"/>
          <w:sz w:val="24"/>
          <w:szCs w:val="24"/>
        </w:rPr>
        <w:t xml:space="preserve">wherein the system maintains a trade-to-design style mapping that associates each construction trade specialty with design tendencies including preferred style categories, typography characteristics, and layout density, and the AI design model weighs said trade-to-design mapping alongside the extracted logo style when generating the template configuration.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4. The method of claim 1, </w:t>
      </w:r>
      <w:r>
        <w:rPr>
          <w:rFonts w:ascii="Times New Roman" w:cs="Times New Roman" w:eastAsia="Times New Roman" w:hAnsi="Times New Roman"/>
          <w:b w:val="false"/>
          <w:bCs w:val="false"/>
          <w:i w:val="false"/>
          <w:iCs w:val="false"/>
          <w:color w:val="000000"/>
          <w:sz w:val="24"/>
          <w:szCs w:val="24"/>
        </w:rPr>
        <w:t xml:space="preserve">wherein the AI design model selects header layout from a plurality of distinct styles including full-width colored bar, centered with underline, vertical sidebar accent, accent stripe, and minimal line, based on the combined influence of extracted brand style and trade context.</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5. The method of claim 1, </w:t>
      </w:r>
      <w:r>
        <w:rPr>
          <w:rFonts w:ascii="Times New Roman" w:cs="Times New Roman" w:eastAsia="Times New Roman" w:hAnsi="Times New Roman"/>
          <w:b w:val="false"/>
          <w:bCs w:val="false"/>
          <w:i w:val="false"/>
          <w:iCs w:val="false"/>
          <w:color w:val="000000"/>
          <w:sz w:val="24"/>
          <w:szCs w:val="24"/>
        </w:rPr>
        <w:t xml:space="preserve">wherein the generated template configuration specifies distinct color assignments for at least eight document elements including header background, header text, category header background, category header text, table borders, alternating row shading, totals section background, and footer background.</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6. The method of claim 1, </w:t>
      </w:r>
      <w:r>
        <w:rPr>
          <w:rFonts w:ascii="Times New Roman" w:cs="Times New Roman" w:eastAsia="Times New Roman" w:hAnsi="Times New Roman"/>
          <w:b w:val="false"/>
          <w:bCs w:val="false"/>
          <w:i w:val="false"/>
          <w:iCs w:val="false"/>
          <w:color w:val="000000"/>
          <w:sz w:val="24"/>
          <w:szCs w:val="24"/>
        </w:rPr>
        <w:t xml:space="preserve">wherein two contractors with different logos in the same trade receive different template configurations, and two contractors with similar logos in different trades receive different template configurations, by virtue of the template being generated from the unique intersection of brand attributes, trade context, and business profile.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A system for automated contractor-specific document template design comprising: a brand asset collection module receiving a logo image and company information; an AI vision analysis module configured to extract brand colors, color variants, and style classification from the logo image; a trade-to-design mapping database associating construction trades with design tendencies; an AI template design engine configured to generate a complete document template configuration from the combined input of extracted brand attributes, trade mapping, and business profile, said configuration specifying header style, typography, accent pattern, color application map, table styling, and footer layout; and a template application module configured to persist the generated configuration and apply it to all document outputs, wherein each contractor’s template is unique.</w:t>
      </w:r>
    </w:p>
    <w:p>
      <w:r>
        <w:br w:type="page"/>
      </w:r>
    </w:p>
    <w:p>
      <w:pPr>
        <w:spacing w:before="360" w:after="240" w:line="480"/>
        <w:jc w:val="center"/>
      </w:pPr>
      <w:r>
        <w:rPr>
          <w:rFonts w:ascii="Times New Roman" w:cs="Times New Roman" w:eastAsia="Times New Roman" w:hAnsi="Times New Roman"/>
          <w:b/>
          <w:bCs/>
          <w:sz w:val="24"/>
          <w:szCs w:val="24"/>
          <w:u w:val="single"/>
        </w:rPr>
        <w:t xml:space="preserve">ABSTRACT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 computer-implemented system and method for automatically designing a unique branded document template for a construction contractor by analyzing the contractor’s logo using AI vision to extract brand colors and style classification, combining extracted attributes with trade specialty and business profile data, and generating through an AI design model a complete template configuration specifying header layout, typography, accent patterns, color assignments for all document elements, table styling, and footer design. Each contractor receives a unique template generated from their specific combination of brand attributes and trade context, rather than a shared template with logo substitution. The system produces professional-grade branded documents without requiring graphic design expertise from the contractor.</w:t>
      </w:r>
    </w:p>
    <w:p>
      <w:r>
        <w:br w:type="page"/>
      </w:r>
    </w:p>
    <w:p>
      <w:pPr>
        <w:spacing w:before="360" w:after="240" w:line="480"/>
        <w:jc w:val="center"/>
      </w:pPr>
      <w:r>
        <w:rPr>
          <w:rFonts w:ascii="Times New Roman" w:cs="Times New Roman" w:eastAsia="Times New Roman" w:hAnsi="Times New Roman"/>
          <w:b/>
          <w:bCs/>
          <w:sz w:val="24"/>
          <w:szCs w:val="24"/>
          <w:u w:val="single"/>
        </w:rPr>
        <w:t xml:space="preserve">INVENTOR'S DECLARATION</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I, Dylan Langone, declare that:</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(1) I am the original and sole inventor of the subject matter which is claimed and for which a patent is sought in this provisional application;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(2) I have reviewed and understand the contents of the above-identified specification, including the claims, as amended by any amendment specifically referred to herein;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(3) I believe the subject matter claimed in this application to be novel and patentable;</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(4) I acknowledge my duty to disclose information which is material to patentability as defined in 37 CFR 1.56;</w:t>
      </w:r>
    </w:p>
    <w:p>
      <w:pPr>
        <w:spacing w:before="0" w:after="400" w:line="480"/>
        <w:ind w:left="720"/>
        <w:jc w:val="left"/>
      </w:pPr>
      <w:r>
        <w:rPr>
          <w:rFonts w:ascii="Times New Roman" w:cs="Times New Roman" w:eastAsia="Times New Roman" w:hAnsi="Times New Roman"/>
          <w:b w:val="false"/>
          <w:bCs w:val="false"/>
          <w:i w:val="false"/>
          <w:iCs w:val="false"/>
          <w:color w:val="000000"/>
          <w:sz w:val="24"/>
          <w:szCs w:val="24"/>
        </w:rPr>
        <w:t xml:space="preserve">(5) I hereby declare that all statements made herein of my own knowledge are true and that all statements made on information and belief are believed to be true.</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Inventor 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Printed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Residence: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SIGNATURE PAGE</w:t>
      </w:r>
    </w:p>
    <w:p>
      <w:pPr>
        <w:spacing w:before="0" w:after="400" w:line="480"/>
        <w:jc w:val="left"/>
      </w:pPr>
      <w:r>
        <w:rPr>
          <w:rFonts w:ascii="Times New Roman" w:cs="Times New Roman" w:eastAsia="Times New Roman" w:hAnsi="Times New Roman"/>
          <w:b w:val="false"/>
          <w:bCs w:val="false"/>
          <w:i w:val="false"/>
          <w:iCs w:val="false"/>
          <w:color w:val="000000"/>
          <w:sz w:val="24"/>
          <w:szCs w:val="24"/>
        </w:rPr>
        <w:t xml:space="preserve">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Full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bCs/>
          <w:i w:val="false"/>
          <w:iCs w:val="false"/>
          <w:color w:val="000000"/>
          <w:sz w:val="24"/>
          <w:szCs w:val="24"/>
        </w:rPr>
        <w:t xml:space="preserve">Address: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 of America</w:t>
      </w:r>
    </w:p>
    <w:p>
      <w:pPr>
        <w:spacing w:before="0" w:after="120" w:line="480"/>
        <w:jc w:val="left"/>
      </w:pPr>
      <w:r>
        <w:rPr>
          <w:rFonts w:ascii="Times New Roman" w:cs="Times New Roman" w:eastAsia="Times New Roman" w:hAnsi="Times New Roman"/>
          <w:b/>
          <w:bCs/>
          <w:i w:val="false"/>
          <w:iCs w:val="false"/>
          <w:color w:val="000000"/>
          <w:sz w:val="24"/>
          <w:szCs w:val="24"/>
        </w:rPr>
        <w:t xml:space="preserve">Entity Status: </w:t>
      </w:r>
      <w:r>
        <w:rPr>
          <w:rFonts w:ascii="Times New Roman" w:cs="Times New Roman" w:eastAsia="Times New Roman" w:hAnsi="Times New Roman"/>
          <w:b w:val="false"/>
          <w:bCs w:val="false"/>
          <w:i w:val="false"/>
          <w:iCs w:val="false"/>
          <w:color w:val="000000"/>
          <w:sz w:val="24"/>
          <w:szCs w:val="24"/>
        </w:rPr>
        <w:t xml:space="preserve">Small Entity (37 CFR 1.27)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Docket: EAP-2026-003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2026-02-23T20:28:47.841Z</dcterms:created>
  <dcterms:modified xsi:type="dcterms:W3CDTF">2026-02-23T20:28:47.843Z</dcterms:modified>
</cp:coreProperties>
</file>

<file path=docProps/custom.xml><?xml version="1.0" encoding="utf-8"?>
<Properties xmlns="http://schemas.openxmlformats.org/officeDocument/2006/custom-properties" xmlns:vt="http://schemas.openxmlformats.org/officeDocument/2006/docPropsVTypes"/>
</file>