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60" w:line="276"/>
        <w:jc w:val="center"/>
      </w:pPr>
      <w:r>
        <w:rPr>
          <w:rFonts w:ascii="Times New Roman" w:cs="Times New Roman" w:eastAsia="Times New Roman" w:hAnsi="Times New Roman"/>
          <w:b/>
          <w:bCs/>
          <w:i w:val="false"/>
          <w:iCs w:val="false"/>
          <w:color w:val="000000"/>
          <w:sz w:val="28"/>
          <w:szCs w:val="28"/>
        </w:rPr>
        <w:t xml:space="preserve">UNITED STATES PATENT AND TRADEMARK OFFICE</w:t>
      </w:r>
    </w:p>
    <w:p>
      <w:pPr>
        <w:spacing w:before="0" w:after="200" w:line="276"/>
        <w:jc w:val="center"/>
      </w:pPr>
      <w:r>
        <w:rPr>
          <w:rFonts w:ascii="Times New Roman" w:cs="Times New Roman" w:eastAsia="Times New Roman" w:hAnsi="Times New Roman"/>
          <w:b w:val="false"/>
          <w:bCs w:val="false"/>
          <w:i w:val="false"/>
          <w:iCs w:val="false"/>
          <w:color w:val="999999"/>
          <w:sz w:val="24"/>
          <w:szCs w:val="24"/>
        </w:rPr>
        <w:t xml:space="preserve">──────────────────────────────────────────────────</w:t>
      </w:r>
    </w:p>
    <w:p>
      <w:pPr>
        <w:spacing w:before="0" w:after="60" w:line="276"/>
        <w:jc w:val="center"/>
      </w:pPr>
      <w:r>
        <w:rPr>
          <w:rFonts w:ascii="Times New Roman" w:cs="Times New Roman" w:eastAsia="Times New Roman" w:hAnsi="Times New Roman"/>
          <w:b/>
          <w:bCs/>
          <w:i w:val="false"/>
          <w:iCs w:val="false"/>
          <w:color w:val="000000"/>
          <w:sz w:val="26"/>
          <w:szCs w:val="26"/>
        </w:rPr>
        <w:t xml:space="preserve">PROVISIONAL APPLICATION FOR PATENT COVER SHEET</w:t>
      </w:r>
    </w:p>
    <w:p>
      <w:pPr>
        <w:spacing w:before="0" w:after="400" w:line="276"/>
        <w:jc w:val="center"/>
      </w:pPr>
      <w:r>
        <w:rPr>
          <w:rFonts w:ascii="Times New Roman" w:cs="Times New Roman" w:eastAsia="Times New Roman" w:hAnsi="Times New Roman"/>
          <w:b w:val="false"/>
          <w:bCs w:val="false"/>
          <w:i w:val="false"/>
          <w:iCs w:val="false"/>
          <w:color w:val="000000"/>
          <w:sz w:val="20"/>
          <w:szCs w:val="20"/>
        </w:rPr>
        <w:t xml:space="preserve">(37 CFR 1.53(c))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 OF INVENTION:</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System and Method for Generating Complete Multi-Section Construction Proposals with AI-Written Narrative Content, Estimate-to-Timeline Phase Transformation, and Brand Voice Adaptation</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INVENTOR:</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Dylan Langone</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RESIDENCE: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621 Wakefield Rd, West Newfield, ME 04095</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CITIZENSHIP:</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United States</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ENTITY STATUS:</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Small Entity (37 CFR 1.27)</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FEE: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$130.00 (Small Entity — 37 CFR 1.16(d))</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DOCKET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EAP-2026-004</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APPLICATION NO.:</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be assigned by USPTO]</w:t>
            </w:r>
          </w:p>
        </w:tc>
      </w:tr>
      <w:tr>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Times New Roman" w:cs="Times New Roman" w:eastAsia="Times New Roman" w:hAnsi="Times New Roman"/>
                <w:b/>
                <w:bCs/>
                <w:sz w:val="22"/>
                <w:szCs w:val="22"/>
              </w:rPr>
              <w:t xml:space="preserve">FILING DATE:</w:t>
            </w:r>
          </w:p>
        </w:tc>
        <w:tc>
          <w:tcPr>
            <w:tcW w:type="dxa" w:w="6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[Date of Filing]</w:t>
            </w:r>
          </w:p>
        </w:tc>
      </w:tr>
    </w:tbl>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60" w:line="276"/>
        <w:jc w:val="left"/>
      </w:pPr>
      <w:r>
        <w:rPr>
          <w:rFonts w:ascii="Times New Roman" w:cs="Times New Roman" w:eastAsia="Times New Roman" w:hAnsi="Times New Roman"/>
          <w:b/>
          <w:bCs/>
          <w:i w:val="false"/>
          <w:iCs w:val="false"/>
          <w:color w:val="000000"/>
          <w:sz w:val="24"/>
          <w:szCs w:val="24"/>
        </w:rPr>
        <w:t xml:space="preserve">CORRESPONDENCE ADDRESS:</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621 Wakefield Rd</w:t>
      </w:r>
    </w:p>
    <w:p>
      <w:pPr>
        <w:spacing w:before="0" w:after="120" w:line="276"/>
        <w:jc w:val="left"/>
      </w:pPr>
      <w:r>
        <w:rPr>
          <w:rFonts w:ascii="Times New Roman" w:cs="Times New Roman" w:eastAsia="Times New Roman" w:hAnsi="Times New Roman"/>
          <w:b w:val="false"/>
          <w:bCs w:val="false"/>
          <w:i w:val="false"/>
          <w:iCs w:val="false"/>
          <w:color w:val="000000"/>
          <w:sz w:val="24"/>
          <w:szCs w:val="24"/>
        </w:rPr>
        <w:t xml:space="preserve">West Newfield, ME 04095</w:t>
      </w:r>
    </w:p>
    <w:p>
      <w:pPr>
        <w:spacing w:before="0" w:after="300" w:line="276"/>
        <w:jc w:val="left"/>
      </w:pPr>
      <w:r>
        <w:rPr>
          <w:rFonts w:ascii="Times New Roman" w:cs="Times New Roman" w:eastAsia="Times New Roman" w:hAnsi="Times New Roman"/>
          <w:b w:val="false"/>
          <w:bCs w:val="false"/>
          <w:i w:val="false"/>
          <w:iCs w:val="false"/>
          <w:color w:val="000000"/>
          <w:sz w:val="24"/>
          <w:szCs w:val="24"/>
        </w:rPr>
        <w:t xml:space="preserve">United States</w:t>
      </w:r>
    </w:p>
    <w:p>
      <w:pPr>
        <w:spacing w:before="0" w:after="200" w:line="276"/>
        <w:jc w:val="left"/>
      </w:pPr>
      <w:r>
        <w:rPr>
          <w:rFonts w:ascii="Times New Roman" w:cs="Times New Roman" w:eastAsia="Times New Roman" w:hAnsi="Times New Roman"/>
          <w:b/>
          <w:bCs/>
          <w:i w:val="false"/>
          <w:iCs w:val="false"/>
          <w:color w:val="000000"/>
          <w:sz w:val="24"/>
          <w:szCs w:val="24"/>
        </w:rPr>
        <w:t xml:space="preserve">CLASSIFICATION: </w:t>
      </w:r>
      <w:r>
        <w:rPr>
          <w:rFonts w:ascii="Times New Roman" w:cs="Times New Roman" w:eastAsia="Times New Roman" w:hAnsi="Times New Roman"/>
          <w:b w:val="false"/>
          <w:bCs w:val="false"/>
          <w:i w:val="false"/>
          <w:iCs w:val="false"/>
          <w:color w:val="000000"/>
          <w:sz w:val="24"/>
          <w:szCs w:val="24"/>
        </w:rPr>
        <w:t xml:space="preserve">G06Q 50/08; G06F 40/166; G06N 20/00</w:t>
      </w:r>
    </w:p>
    <w:p>
      <w:pPr>
        <w:spacing w:before="0" w:after="200" w:line="276"/>
        <w:jc w:val="left"/>
      </w:pPr>
      <w:r>
        <w:rPr>
          <w:rFonts w:ascii="Times New Roman" w:cs="Times New Roman" w:eastAsia="Times New Roman" w:hAnsi="Times New Roman"/>
          <w:b/>
          <w:bCs/>
          <w:i w:val="false"/>
          <w:iCs w:val="false"/>
          <w:color w:val="000000"/>
          <w:sz w:val="24"/>
          <w:szCs w:val="24"/>
        </w:rPr>
        <w:t xml:space="preserve">RELATED APPLICATIONS: </w:t>
      </w:r>
      <w:r>
        <w:rPr>
          <w:rFonts w:ascii="Times New Roman" w:cs="Times New Roman" w:eastAsia="Times New Roman" w:hAnsi="Times New Roman"/>
          <w:b w:val="false"/>
          <w:bCs w:val="false"/>
          <w:i w:val="false"/>
          <w:iCs w:val="false"/>
          <w:color w:val="000000"/>
          <w:sz w:val="24"/>
          <w:szCs w:val="24"/>
        </w:rPr>
        <w:t xml:space="preserve">Co-pending provisional applications EAP-2026-001 through EAP-2026-003 and EAP-2026-005, filed concurrently.</w:t>
      </w:r>
    </w:p>
    <w:p>
      <w:pPr>
        <w:spacing w:before="0" w:after="20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276"/>
        <w:jc w:val="left"/>
      </w:pPr>
      <w:r>
        <w:rPr>
          <w:rFonts w:ascii="Times New Roman" w:cs="Times New Roman" w:eastAsia="Times New Roman" w:hAnsi="Times New Roman"/>
          <w:b w:val="false"/>
          <w:bCs w:val="false"/>
          <w:i/>
          <w:iCs/>
          <w:color w:val="000000"/>
          <w:sz w:val="20"/>
          <w:szCs w:val="20"/>
        </w:rPr>
        <w:t xml:space="preserve">This application claims the benefit of the filing date under 35 U.S.C. 111(b).</w:t>
      </w:r>
    </w:p>
    <w:p>
      <w:r>
        <w:br w:type="page"/>
      </w:r>
    </w:p>
    <w:p>
      <w:pPr>
        <w:spacing w:before="360" w:after="240" w:line="480"/>
        <w:jc w:val="center"/>
      </w:pPr>
      <w:r>
        <w:rPr>
          <w:rFonts w:ascii="Times New Roman" w:cs="Times New Roman" w:eastAsia="Times New Roman" w:hAnsi="Times New Roman"/>
          <w:b/>
          <w:bCs/>
          <w:sz w:val="24"/>
          <w:szCs w:val="24"/>
          <w:u w:val="single"/>
        </w:rPr>
        <w:t xml:space="preserve">SPECIFICATION</w:t>
      </w:r>
    </w:p>
    <w:p>
      <w:pPr>
        <w:spacing w:before="0" w:after="300" w:line="480"/>
        <w:jc w:val="center"/>
      </w:pPr>
      <w:r>
        <w:rPr>
          <w:rFonts w:ascii="Times New Roman" w:cs="Times New Roman" w:eastAsia="Times New Roman" w:hAnsi="Times New Roman"/>
          <w:b/>
          <w:bCs/>
          <w:i w:val="false"/>
          <w:iCs w:val="false"/>
          <w:color w:val="000000"/>
          <w:sz w:val="24"/>
          <w:szCs w:val="24"/>
        </w:rPr>
        <w:t xml:space="preserve">System and Method for Generating Complete Multi-Section Construction Proposals with AI-Written Narrative Content, Estimate-to-Timeline Phase Transformation, and Contractor Brand Voice Adaptation</w:t>
      </w:r>
    </w:p>
    <w:p>
      <w:pPr>
        <w:spacing w:before="360" w:after="240" w:line="480"/>
      </w:pPr>
      <w:r>
        <w:rPr>
          <w:rFonts w:ascii="Times New Roman" w:cs="Times New Roman" w:eastAsia="Times New Roman" w:hAnsi="Times New Roman"/>
          <w:b/>
          <w:bCs/>
          <w:sz w:val="24"/>
          <w:szCs w:val="24"/>
        </w:rPr>
        <w:t xml:space="preserve">CROSS-REFERENCE TO RELATED APPLICATIONS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This application is related to co-pending provisional patent applications filed concurrently herewith by the same inventor, including applications directed to a Persistent Multi-Layer Correction Training System, a Unified Construction Document Intelligence Pipeline, an AI-Generated Branded Document Template Design System, and an Integrated Contractor Intelligence Center.</w:t>
      </w:r>
    </w:p>
    <w:p>
      <w:pPr>
        <w:spacing w:before="360" w:after="240" w:line="480"/>
      </w:pPr>
      <w:r>
        <w:rPr>
          <w:rFonts w:ascii="Times New Roman" w:cs="Times New Roman" w:eastAsia="Times New Roman" w:hAnsi="Times New Roman"/>
          <w:b/>
          <w:bCs/>
          <w:sz w:val="24"/>
          <w:szCs w:val="24"/>
        </w:rPr>
        <w:t xml:space="preserve">FIELD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relates to automated document generation for the construction industry, and more particularly to a system and method for generating complete, multi-section construction proposals from structured estimate data and contractor profile information, wherein each section contains AI-written narrative content personalized to the specific project, client, and contractor, and the proposal is rendered using the contractor’s branded template.</w:t>
      </w:r>
    </w:p>
    <w:p>
      <w:pPr>
        <w:spacing w:before="360" w:after="240" w:line="480"/>
      </w:pPr>
      <w:r>
        <w:rPr>
          <w:rFonts w:ascii="Times New Roman" w:cs="Times New Roman" w:eastAsia="Times New Roman" w:hAnsi="Times New Roman"/>
          <w:b/>
          <w:bCs/>
          <w:sz w:val="24"/>
          <w:szCs w:val="24"/>
        </w:rPr>
        <w:t xml:space="preserve">BACKGROUND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Construction proposals are a critical sales tool for winning projects. A professional, comprehensive proposal communicates competence, attention to detail, and professionalism—factors that significantly influence client selection among competing bids. However, the creation of high-quality proposals represents a significant time investment that most contractors cannot afford on a per-project basis.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Current practices fall into three categories. First, many contractors send bare estimate spreadsheets with no narrative content, no branding, and no professional formatting—effectively presenting raw numbers without context. Second, some contractors manually write proposals in word processing applications, spending two to four hours per document on narrative content, formatting, and design. Third, template-based proposal software (such as Proposify, PandaDoc, and Qwilr) provides pre-designed layouts but requires the contractor to manually write all narrative content and customize each section.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AI writing assistants such as Jasper and Copy.ai can generate marketing content, but they lack the ability to: (a) transform structured estimate line items into project-specific proposal sections; (b) convert technical line-item data into client-friendly narrative scope-of-work descriptions; (c) automatically generate phased project timelines from categorized estimate data; (d) adapt writing style to a contractor’s brand voice derived from their company profile; and (e) coordinate narrative content across multiple sections to maintain consistency.</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No existing system generates complete, multi-section construction proposals with AI-written content specific to each project, client, and contractor from a single action on an existing estimate.</w:t>
      </w:r>
    </w:p>
    <w:p>
      <w:pPr>
        <w:spacing w:before="360" w:after="240" w:line="480"/>
      </w:pPr>
      <w:r>
        <w:rPr>
          <w:rFonts w:ascii="Times New Roman" w:cs="Times New Roman" w:eastAsia="Times New Roman" w:hAnsi="Times New Roman"/>
          <w:b/>
          <w:bCs/>
          <w:sz w:val="24"/>
          <w:szCs w:val="24"/>
        </w:rPr>
        <w:t xml:space="preserve">BRIEF SUMMARY OF THE INVENTION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present invention provides a computer-implemented system and method that, from any completed construction estimate containing line items and pricing, generates a complete multi-page branded proposal comprising: a designed cover page; an AI-written personalized executive summary; a company profile narrative expanded from founder-provided bullet points; the detailed estimate with branded formatting; an AI-written scope-of-work narrative translating technical line items into plain English; an AI-generated phased project timeline derived by transforming estimate categories into chronological construction phases; customized terms and conditions with a payment schedule; and a closing page. Each section is written specifically for the project and client, adapted to the contractor’s brand voice.</w:t>
      </w:r>
    </w:p>
    <w:p>
      <w:pPr>
        <w:spacing w:before="360" w:after="240" w:line="480"/>
      </w:pPr>
      <w:r>
        <w:rPr>
          <w:rFonts w:ascii="Times New Roman" w:cs="Times New Roman" w:eastAsia="Times New Roman" w:hAnsi="Times New Roman"/>
          <w:b/>
          <w:bCs/>
          <w:sz w:val="24"/>
          <w:szCs w:val="24"/>
        </w:rPr>
        <w:t xml:space="preserve">DETAILED DESCRIPTION OF PREFERRED EMBODIMENTS</w:t>
      </w:r>
    </w:p>
    <w:p>
      <w:pPr>
        <w:spacing w:before="240" w:after="120" w:line="480"/>
      </w:pPr>
      <w:r>
        <w:rPr>
          <w:rFonts w:ascii="Times New Roman" w:cs="Times New Roman" w:eastAsia="Times New Roman" w:hAnsi="Times New Roman"/>
          <w:b/>
          <w:bCs/>
          <w:i/>
          <w:iCs/>
          <w:sz w:val="24"/>
          <w:szCs w:val="24"/>
        </w:rPr>
        <w:t xml:space="preserve">1. Estimate-to-Proposal Trigger</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From any completed estimate within the system, the user initiates proposal generation through a single action (e.g., button click). No additional input from the user is required; all necessary data is assembled automatically from existing system data.</w:t>
      </w:r>
    </w:p>
    <w:p>
      <w:pPr>
        <w:spacing w:before="240" w:after="120" w:line="480"/>
      </w:pPr>
      <w:r>
        <w:rPr>
          <w:rFonts w:ascii="Times New Roman" w:cs="Times New Roman" w:eastAsia="Times New Roman" w:hAnsi="Times New Roman"/>
          <w:b/>
          <w:bCs/>
          <w:i/>
          <w:iCs/>
          <w:sz w:val="24"/>
          <w:szCs w:val="24"/>
        </w:rPr>
        <w:t xml:space="preserve">2. Context Assembly</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system assembles the following context for the AI narrative engine: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Estimate Data: All line items with descriptions, quantities, units, unit prices, and totals; category groupings with subtotals; markup percentages; grand total; original project description as entered by the user; and client name and contact information if provided.</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Contractor Profile: Company name, tagline, trade specialties, years in business, service area, team size, founder-provided “About Us” bullet points or paragraph, license and insurance information, and any stated specialties or differentiators.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Branded Template Configuration: The contractor’s AI-generated or manually configured document template including header style, typography, color scheme, and layout parameters.</w:t>
      </w:r>
    </w:p>
    <w:p>
      <w:pPr>
        <w:spacing w:before="240" w:after="120" w:line="480"/>
      </w:pPr>
      <w:r>
        <w:rPr>
          <w:rFonts w:ascii="Times New Roman" w:cs="Times New Roman" w:eastAsia="Times New Roman" w:hAnsi="Times New Roman"/>
          <w:b/>
          <w:bCs/>
          <w:i/>
          <w:iCs/>
          <w:sz w:val="24"/>
          <w:szCs w:val="24"/>
        </w:rPr>
        <w:t xml:space="preserve">3. AI Narrative Engine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AI narrative engine generates all written content for the proposal, personalized to the specific project, client, and contractor. The engine operates with awareness of the contractor’s brand voice, derived from their company description, trade specialty, and communication style preferences. The engine generates the following sections: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Executive Summary: A personalized opening that addresses the client by name (when available), references specific project details from the estimate (project type, scope, location), positions the contractor’s relevant experience and qualifications, and summarizes the proposed approach. This section reads as a custom letter to the client, not a generic template.</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Company Profile Narrative: The system transforms the contractor’s founder-provided bullet points into a professional third-person company narrative. Short bullet points such as “15 years experience” and “specialize in custom homes” and “fully licensed and insured” are expanded into flowing paragraphs that tell the company’s story, highlight key differentiators, and establish credibility.</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Scope of Work Narrative: This is a critical transformation. The technical estimate line items (e.g., “Framing — 2x6 exterior walls — 1,344 SF — $12,400”) are transformed into a plain-English narrative describing the project in client-friendly language organized by phase or area. For example: “The structural framing phase will include the construction of all exterior walls using 2x6 dimensional lumber for enhanced insulation capacity, interior partition walls, floor systems, and roof framing.” This translation makes the proposal accessible to non-technical clients.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Project Timeline with Phase Transformation: The system transforms estimate categories into a chronological phased timeline. This involves a category-to-phase mapping that reorders estimate categories (which are organized by trade) into construction-sequence order. For example:</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Estimate categories (trade-organized): Site Work, Foundation/Concrete, Framing, Roofing, Plumbing, Electrical, HVAC, Insulation, Drywall, Painting, Flooring, Trim/Finish.</w:t>
      </w:r>
    </w:p>
    <w:p>
      <w:pPr>
        <w:spacing w:before="0" w:after="120" w:line="480"/>
        <w:ind w:left="720"/>
        <w:jc w:val="left"/>
      </w:pPr>
      <w:r>
        <w:rPr>
          <w:rFonts w:ascii="Times New Roman" w:cs="Times New Roman" w:eastAsia="Times New Roman" w:hAnsi="Times New Roman"/>
          <w:b w:val="false"/>
          <w:bCs w:val="false"/>
          <w:i w:val="false"/>
          <w:iCs w:val="false"/>
          <w:color w:val="000000"/>
          <w:sz w:val="24"/>
          <w:szCs w:val="24"/>
        </w:rPr>
        <w:t xml:space="preserve">Timeline phases (chronologically reordered): Phase 1 — Site Preparation and Foundation (Site Work + Foundation/Concrete, weeks 1-3); Phase 2 — Structural Framing (Framing, weeks 3-5); Phase 3 — Dry-In (Roofing + Windows/Doors, weeks 5-6); Phase 4 — Rough-In (Plumbing + Electrical + HVAC, weeks 6-8); Phase 5 — Insulation and Drywall (Insulation + Drywall, weeks 8-10); Phase 6 — Finish Work (Painting + Flooring + Trim/Finish, weeks 10-13); Phase 7 — Final Inspection and Handover (week 14).</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Duration estimates for each phase are generated by the AI based on project scope, square footage, and industry benchmarks for the contractor’s region. Each phase includes an activity description and any relevant client-facing notes (e.g., “Client selections for flooring materials needed by start of Phase 6”).</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Terms and Conditions: Customized payment schedule tied to project phases (e.g., 10% at signing, 20% at foundation completion, etc.), change order process, warranty terms, insurance confirmation, and project start/completion target dates.</w:t>
      </w:r>
    </w:p>
    <w:p>
      <w:pPr>
        <w:spacing w:before="0" w:after="120" w:line="480"/>
        <w:ind w:left="360"/>
        <w:jc w:val="left"/>
      </w:pPr>
      <w:r>
        <w:rPr>
          <w:rFonts w:ascii="Times New Roman" w:cs="Times New Roman" w:eastAsia="Times New Roman" w:hAnsi="Times New Roman"/>
          <w:b w:val="false"/>
          <w:bCs w:val="false"/>
          <w:i w:val="false"/>
          <w:iCs w:val="false"/>
          <w:color w:val="000000"/>
          <w:sz w:val="24"/>
          <w:szCs w:val="24"/>
        </w:rPr>
        <w:t xml:space="preserve">Closing Section: A warm closing message with clear next steps, call-to-action, and signature blocks for both contractor and client.</w:t>
      </w:r>
    </w:p>
    <w:p>
      <w:pPr>
        <w:spacing w:before="240" w:after="120" w:line="480"/>
      </w:pPr>
      <w:r>
        <w:rPr>
          <w:rFonts w:ascii="Times New Roman" w:cs="Times New Roman" w:eastAsia="Times New Roman" w:hAnsi="Times New Roman"/>
          <w:b/>
          <w:bCs/>
          <w:i/>
          <w:iCs/>
          <w:sz w:val="24"/>
          <w:szCs w:val="24"/>
        </w:rPr>
        <w:t xml:space="preserve">4. Proposal Rendering</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All generated sections are assembled into a multi-page PDF document using the contractor’s branded template. The renderer applies consistent typography, color, header/footer treatment, and layout throughout all pages. The cover page features the contractor’s logo, company name, project title, client name, date, and branded design elements.</w:t>
      </w:r>
    </w:p>
    <w:p>
      <w:pPr>
        <w:spacing w:before="240" w:after="120" w:line="480"/>
      </w:pPr>
      <w:r>
        <w:rPr>
          <w:rFonts w:ascii="Times New Roman" w:cs="Times New Roman" w:eastAsia="Times New Roman" w:hAnsi="Times New Roman"/>
          <w:b/>
          <w:bCs/>
          <w:i/>
          <w:iCs/>
          <w:sz w:val="24"/>
          <w:szCs w:val="24"/>
        </w:rPr>
        <w:t xml:space="preserve">5. Brand Voice Adaptation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The AI narrative engine adapts its writing style based on the contractor’s profile. A small residential contractor with a company description emphasizing “personal attention” and “family-owned” receives warm, approachable language. A large commercial contractor with a description emphasizing “enterprise-grade” and “project management” receives formal, corporate language. The adaptation considers trade specialty (e.g., creative language for renovation specialists, technical language for mechanical contractors), company size, and any explicit tone indicators in the company description.</w:t>
      </w:r>
    </w:p>
    <w:p>
      <w:pPr>
        <w:spacing w:before="240" w:after="120" w:line="480"/>
      </w:pPr>
      <w:r>
        <w:rPr>
          <w:rFonts w:ascii="Times New Roman" w:cs="Times New Roman" w:eastAsia="Times New Roman" w:hAnsi="Times New Roman"/>
          <w:b/>
          <w:bCs/>
          <w:i/>
          <w:iCs/>
          <w:sz w:val="24"/>
          <w:szCs w:val="24"/>
        </w:rPr>
        <w:t xml:space="preserve">6. Independence from Template System</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While the proposal engine can use AI-generated branded templates from the related template design system, it operates independently with any template configuration, including manually configured templates or default system templates. The narrative content generation is entirely independent of the visual template application.</w:t>
      </w:r>
    </w:p>
    <w:p>
      <w:r>
        <w:br w:type="page"/>
      </w:r>
    </w:p>
    <w:p>
      <w:pPr>
        <w:spacing w:before="360" w:after="240" w:line="480"/>
        <w:jc w:val="center"/>
      </w:pPr>
      <w:r>
        <w:rPr>
          <w:rFonts w:ascii="Times New Roman" w:cs="Times New Roman" w:eastAsia="Times New Roman" w:hAnsi="Times New Roman"/>
          <w:b/>
          <w:bCs/>
          <w:sz w:val="24"/>
          <w:szCs w:val="24"/>
          <w:u w:val="single"/>
        </w:rPr>
        <w:t xml:space="preserve">CLAIMS</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What is claimed is: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computer-implemented method for generating a multi-section construction proposal comprising: receiving an estimate containing categorized line items with descriptions, quantities, pricing, and a project description; assembling contractor profile data including company information, trade specialties, and brand voice indicators; generating AI-written narrative content for a plurality of proposal sections, each section personalized to the specific project, client, and contractor, said sections comprising at least: an executive summary addressing the specific client and referencing specific project details from the estimate data; a scope-of-work narrative translating technical estimate line items into client-friendly plain English organized by project phase or area; and a phased project timeline generated by transforming estimate categories organized by trade into a chronological construction sequence with duration estimates and activity descriptions; and rendering all sections into a multi-page branded document.</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2. The method of claim 1, </w:t>
      </w:r>
      <w:r>
        <w:rPr>
          <w:rFonts w:ascii="Times New Roman" w:cs="Times New Roman" w:eastAsia="Times New Roman" w:hAnsi="Times New Roman"/>
          <w:b w:val="false"/>
          <w:bCs w:val="false"/>
          <w:i w:val="false"/>
          <w:iCs w:val="false"/>
          <w:color w:val="000000"/>
          <w:sz w:val="24"/>
          <w:szCs w:val="24"/>
        </w:rPr>
        <w:t xml:space="preserve">wherein the scope-of-work section transforms technical line-item data into narrative prose describing the project work in client-friendly language, such that technical descriptions including material specifications, quantities, and unit pricing are converted into descriptive paragraphs readable by non-technical clients.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3. The method of claim 1, </w:t>
      </w:r>
      <w:r>
        <w:rPr>
          <w:rFonts w:ascii="Times New Roman" w:cs="Times New Roman" w:eastAsia="Times New Roman" w:hAnsi="Times New Roman"/>
          <w:b w:val="false"/>
          <w:bCs w:val="false"/>
          <w:i w:val="false"/>
          <w:iCs w:val="false"/>
          <w:color w:val="000000"/>
          <w:sz w:val="24"/>
          <w:szCs w:val="24"/>
        </w:rPr>
        <w:t xml:space="preserve">wherein the phased project timeline is generated by a category-to-phase mapping that reorders estimate categories from trade-organized groupings into chronological construction-sequence order, groups related categories into construction phases, assigns duration estimates to each phase based on project scope and regional industry benchmarks, and generates activity descriptions and client-facing notes for each phase.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4. The method of claim 1, </w:t>
      </w:r>
      <w:r>
        <w:rPr>
          <w:rFonts w:ascii="Times New Roman" w:cs="Times New Roman" w:eastAsia="Times New Roman" w:hAnsi="Times New Roman"/>
          <w:b w:val="false"/>
          <w:bCs w:val="false"/>
          <w:i w:val="false"/>
          <w:iCs w:val="false"/>
          <w:color w:val="000000"/>
          <w:sz w:val="24"/>
          <w:szCs w:val="24"/>
        </w:rPr>
        <w:t xml:space="preserve">wherein the AI narrative engine adapts writing style based on the contractor’s brand voice derived from company description, trade specialty, company size, and explicit tone indicators, such that different contractors receive different narrative styles for the same project type.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5. The method of claim 1, </w:t>
      </w:r>
      <w:r>
        <w:rPr>
          <w:rFonts w:ascii="Times New Roman" w:cs="Times New Roman" w:eastAsia="Times New Roman" w:hAnsi="Times New Roman"/>
          <w:b w:val="false"/>
          <w:bCs w:val="false"/>
          <w:i w:val="false"/>
          <w:iCs w:val="false"/>
          <w:color w:val="000000"/>
          <w:sz w:val="24"/>
          <w:szCs w:val="24"/>
        </w:rPr>
        <w:t xml:space="preserve">further comprising generating a company profile narrative by transforming founder-provided bullet points into professional flowing prose that tells the company’s story and highlights differentiators.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6. The method of claim 1, </w:t>
      </w:r>
      <w:r>
        <w:rPr>
          <w:rFonts w:ascii="Times New Roman" w:cs="Times New Roman" w:eastAsia="Times New Roman" w:hAnsi="Times New Roman"/>
          <w:b w:val="false"/>
          <w:bCs w:val="false"/>
          <w:i w:val="false"/>
          <w:iCs w:val="false"/>
          <w:color w:val="000000"/>
          <w:sz w:val="24"/>
          <w:szCs w:val="24"/>
        </w:rPr>
        <w:t xml:space="preserve">wherein the terms and conditions section includes a payment schedule tied to the project phases generated in the timeline, with payment milestones corresponding to phase completion events.</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7. The method of claim 1, </w:t>
      </w:r>
      <w:r>
        <w:rPr>
          <w:rFonts w:ascii="Times New Roman" w:cs="Times New Roman" w:eastAsia="Times New Roman" w:hAnsi="Times New Roman"/>
          <w:b w:val="false"/>
          <w:bCs w:val="false"/>
          <w:i w:val="false"/>
          <w:iCs w:val="false"/>
          <w:color w:val="000000"/>
          <w:sz w:val="24"/>
          <w:szCs w:val="24"/>
        </w:rPr>
        <w:t xml:space="preserve">wherein the executive summary addresses the specific client by name, references specific project details including project type, square footage, and key scope elements extracted from the estimate data, and positions the contractor’s qualifications relevant to the specific project type.</w:t>
      </w:r>
    </w:p>
    <w:p>
      <w:pPr>
        <w:spacing w:before="0" w:after="200" w:line="480"/>
        <w:ind w:left="720"/>
        <w:jc w:val="left"/>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A system for automated construction proposal generation comprising: a context assembly module configured to aggregate estimate data, contractor profile data, and template configuration; an AI narrative engine configured to generate personalized written content for multiple proposal sections including an executive summary, scope-of-work narrative, and phased project timeline; a category-to-phase transformation engine configured to reorder trade-organized estimate categories into chronological construction sequence and generate phase-specific duration estimates and activity descriptions; a brand voice adaptation module configured to adjust narrative writing style based on contractor profile characteristics; and a proposal rendering module configured to assemble all sections into a branded multi-page document.</w:t>
      </w:r>
    </w:p>
    <w:p>
      <w:r>
        <w:br w:type="page"/>
      </w:r>
    </w:p>
    <w:p>
      <w:pPr>
        <w:spacing w:before="360" w:after="240" w:line="480"/>
        <w:jc w:val="center"/>
      </w:pPr>
      <w:r>
        <w:rPr>
          <w:rFonts w:ascii="Times New Roman" w:cs="Times New Roman" w:eastAsia="Times New Roman" w:hAnsi="Times New Roman"/>
          <w:b/>
          <w:bCs/>
          <w:sz w:val="24"/>
          <w:szCs w:val="24"/>
          <w:u w:val="single"/>
        </w:rPr>
        <w:t xml:space="preserve">ABSTRACT</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A computer-implemented system and method for generating complete multi-section construction proposals from estimate data. The system transforms structured line items into AI-written narrative content including a personalized executive summary, a scope-of-work narrative translating technical data into client-friendly language, and a phased project timeline generated by reordering trade-organized estimate categories into chronological construction sequence with duration estimates. Each section is personalized to the specific project, client, and contractor, with brand voice adaptation based on the contractor’s profile. The system enables contractors to produce professional multi-page proposals from a single action on an existing estimate.</w:t>
      </w:r>
    </w:p>
    <w:p>
      <w:r>
        <w:br w:type="page"/>
      </w:r>
    </w:p>
    <w:p>
      <w:pPr>
        <w:spacing w:before="360" w:after="240" w:line="480"/>
        <w:jc w:val="center"/>
      </w:pPr>
      <w:r>
        <w:rPr>
          <w:rFonts w:ascii="Times New Roman" w:cs="Times New Roman" w:eastAsia="Times New Roman" w:hAnsi="Times New Roman"/>
          <w:b/>
          <w:bCs/>
          <w:sz w:val="24"/>
          <w:szCs w:val="24"/>
          <w:u w:val="single"/>
        </w:rPr>
        <w:t xml:space="preserve">INVENTOR'S DECLARATION</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I, Dylan Langone, declare that:</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(1) I am the original and sole inventor of the subject matter which is claimed and for which a patent is sought in this provisional application;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(2) I have reviewed and understand the contents of the above-identified specification, including the claims, as amended by any amendment specifically referred to herein;</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(3) I believe the subject matter claimed in this application to be novel and patentable;</w:t>
      </w:r>
    </w:p>
    <w:p>
      <w:pPr>
        <w:spacing w:before="0" w:after="150" w:line="480"/>
        <w:ind w:left="720"/>
        <w:jc w:val="left"/>
      </w:pPr>
      <w:r>
        <w:rPr>
          <w:rFonts w:ascii="Times New Roman" w:cs="Times New Roman" w:eastAsia="Times New Roman" w:hAnsi="Times New Roman"/>
          <w:b w:val="false"/>
          <w:bCs w:val="false"/>
          <w:i w:val="false"/>
          <w:iCs w:val="false"/>
          <w:color w:val="000000"/>
          <w:sz w:val="24"/>
          <w:szCs w:val="24"/>
        </w:rPr>
        <w:t xml:space="preserve">(4) I acknowledge my duty to disclose information which is material to patentability as defined in 37 CFR 1.56;</w:t>
      </w:r>
    </w:p>
    <w:p>
      <w:pPr>
        <w:spacing w:before="0" w:after="400" w:line="480"/>
        <w:ind w:left="720"/>
        <w:jc w:val="left"/>
      </w:pPr>
      <w:r>
        <w:rPr>
          <w:rFonts w:ascii="Times New Roman" w:cs="Times New Roman" w:eastAsia="Times New Roman" w:hAnsi="Times New Roman"/>
          <w:b w:val="false"/>
          <w:bCs w:val="false"/>
          <w:i w:val="false"/>
          <w:iCs w:val="false"/>
          <w:color w:val="000000"/>
          <w:sz w:val="24"/>
          <w:szCs w:val="24"/>
        </w:rPr>
        <w:t xml:space="preserve">(5) I hereby declare that all statements made herein of my own knowledge are true and that all statements made on information and belief are believed to be true.</w:t>
      </w:r>
    </w:p>
    <w:p>
      <w:pPr>
        <w:spacing w:before="0" w:after="20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Inventor 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Printed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Residence: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w:t>
      </w:r>
    </w:p>
    <w:p>
      <w:r>
        <w:br w:type="page"/>
      </w:r>
    </w:p>
    <w:p>
      <w:pPr>
        <w:spacing w:before="360" w:after="240" w:line="480"/>
        <w:jc w:val="center"/>
      </w:pPr>
      <w:r>
        <w:rPr>
          <w:rFonts w:ascii="Times New Roman" w:cs="Times New Roman" w:eastAsia="Times New Roman" w:hAnsi="Times New Roman"/>
          <w:b/>
          <w:bCs/>
          <w:sz w:val="24"/>
          <w:szCs w:val="24"/>
          <w:u w:val="single"/>
        </w:rPr>
        <w:t xml:space="preserve">SIGNATURE PAGE</w:t>
      </w:r>
    </w:p>
    <w:p>
      <w:pPr>
        <w:spacing w:before="0" w:after="400" w:line="480"/>
        <w:jc w:val="left"/>
      </w:pPr>
      <w:r>
        <w:rPr>
          <w:rFonts w:ascii="Times New Roman" w:cs="Times New Roman" w:eastAsia="Times New Roman" w:hAnsi="Times New Roman"/>
          <w:b w:val="false"/>
          <w:bCs w:val="false"/>
          <w:i w:val="false"/>
          <w:iCs w:val="false"/>
          <w:color w:val="000000"/>
          <w:sz w:val="24"/>
          <w:szCs w:val="24"/>
        </w:rPr>
        <w:t xml:space="preserve">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Signature: </w:t>
      </w:r>
      <w:r>
        <w:rPr>
          <w:rFonts w:ascii="Times New Roman" w:cs="Times New Roman" w:eastAsia="Times New Roman" w:hAnsi="Times New Roman"/>
          <w:b/>
          <w:bCs/>
          <w:i/>
          <w:iCs/>
          <w:color w:val="000000"/>
          <w:sz w:val="24"/>
          <w:szCs w:val="24"/>
        </w:rPr>
        <w:t xml:space="preserve">/Dylan Langone/</w:t>
      </w:r>
    </w:p>
    <w:p>
      <w:pPr>
        <w:spacing w:before="0" w:after="120" w:line="480"/>
        <w:jc w:val="left"/>
      </w:pPr>
      <w:r>
        <w:rPr>
          <w:rFonts w:ascii="Times New Roman" w:cs="Times New Roman" w:eastAsia="Times New Roman" w:hAnsi="Times New Roman"/>
          <w:b w:val="false"/>
          <w:bCs w:val="false"/>
          <w:i w:val="false"/>
          <w:iCs w:val="false"/>
          <w:color w:val="000000"/>
          <w:sz w:val="24"/>
          <w:szCs w:val="24"/>
        </w:rPr>
        <w:t xml:space="preserve"/>
      </w:r>
    </w:p>
    <w:p>
      <w:pPr>
        <w:spacing w:before="0" w:after="120" w:line="480"/>
        <w:jc w:val="left"/>
      </w:pPr>
      <w:r>
        <w:rPr>
          <w:rFonts w:ascii="Times New Roman" w:cs="Times New Roman" w:eastAsia="Times New Roman" w:hAnsi="Times New Roman"/>
          <w:b/>
          <w:bCs/>
          <w:i w:val="false"/>
          <w:iCs w:val="false"/>
          <w:color w:val="000000"/>
          <w:sz w:val="24"/>
          <w:szCs w:val="24"/>
        </w:rPr>
        <w:t xml:space="preserve">Full Name: </w:t>
      </w:r>
      <w:r>
        <w:rPr>
          <w:rFonts w:ascii="Times New Roman" w:cs="Times New Roman" w:eastAsia="Times New Roman" w:hAnsi="Times New Roman"/>
          <w:b w:val="false"/>
          <w:bCs w:val="false"/>
          <w:i w:val="false"/>
          <w:iCs w:val="false"/>
          <w:color w:val="000000"/>
          <w:sz w:val="24"/>
          <w:szCs w:val="24"/>
        </w:rPr>
        <w:t xml:space="preserve">Dylan Langone</w:t>
      </w:r>
    </w:p>
    <w:p>
      <w:pPr>
        <w:spacing w:before="0" w:after="120" w:line="480"/>
        <w:jc w:val="left"/>
      </w:pPr>
      <w:r>
        <w:rPr>
          <w:rFonts w:ascii="Times New Roman" w:cs="Times New Roman" w:eastAsia="Times New Roman" w:hAnsi="Times New Roman"/>
          <w:b/>
          <w:bCs/>
          <w:i w:val="false"/>
          <w:iCs w:val="false"/>
          <w:color w:val="000000"/>
          <w:sz w:val="24"/>
          <w:szCs w:val="24"/>
        </w:rPr>
        <w:t xml:space="preserve">Date: </w:t>
      </w:r>
      <w:r>
        <w:rPr>
          <w:rFonts w:ascii="Times New Roman" w:cs="Times New Roman" w:eastAsia="Times New Roman" w:hAnsi="Times New Roman"/>
          <w:b w:val="false"/>
          <w:bCs w:val="false"/>
          <w:i w:val="false"/>
          <w:iCs w:val="false"/>
          <w:color w:val="000000"/>
          <w:sz w:val="24"/>
          <w:szCs w:val="24"/>
        </w:rPr>
        <w:t xml:space="preserve">February 23, 2026</w:t>
      </w:r>
    </w:p>
    <w:p>
      <w:pPr>
        <w:spacing w:before="0" w:after="120" w:line="480"/>
        <w:jc w:val="left"/>
      </w:pPr>
      <w:r>
        <w:rPr>
          <w:rFonts w:ascii="Times New Roman" w:cs="Times New Roman" w:eastAsia="Times New Roman" w:hAnsi="Times New Roman"/>
          <w:b/>
          <w:bCs/>
          <w:i w:val="false"/>
          <w:iCs w:val="false"/>
          <w:color w:val="000000"/>
          <w:sz w:val="24"/>
          <w:szCs w:val="24"/>
        </w:rPr>
        <w:t xml:space="preserve">Address: </w:t>
      </w:r>
      <w:r>
        <w:rPr>
          <w:rFonts w:ascii="Times New Roman" w:cs="Times New Roman" w:eastAsia="Times New Roman" w:hAnsi="Times New Roman"/>
          <w:b w:val="false"/>
          <w:bCs w:val="false"/>
          <w:i w:val="false"/>
          <w:iCs w:val="false"/>
          <w:color w:val="000000"/>
          <w:sz w:val="24"/>
          <w:szCs w:val="24"/>
        </w:rPr>
        <w:t xml:space="preserve">621 Wakefield Rd, West Newfield, ME 04095</w:t>
      </w:r>
    </w:p>
    <w:p>
      <w:pPr>
        <w:spacing w:before="0" w:after="120" w:line="480"/>
        <w:jc w:val="left"/>
      </w:pPr>
      <w:r>
        <w:rPr>
          <w:rFonts w:ascii="Times New Roman" w:cs="Times New Roman" w:eastAsia="Times New Roman" w:hAnsi="Times New Roman"/>
          <w:b/>
          <w:bCs/>
          <w:i w:val="false"/>
          <w:iCs w:val="false"/>
          <w:color w:val="000000"/>
          <w:sz w:val="24"/>
          <w:szCs w:val="24"/>
        </w:rPr>
        <w:t xml:space="preserve">Citizenship: </w:t>
      </w:r>
      <w:r>
        <w:rPr>
          <w:rFonts w:ascii="Times New Roman" w:cs="Times New Roman" w:eastAsia="Times New Roman" w:hAnsi="Times New Roman"/>
          <w:b w:val="false"/>
          <w:bCs w:val="false"/>
          <w:i w:val="false"/>
          <w:iCs w:val="false"/>
          <w:color w:val="000000"/>
          <w:sz w:val="24"/>
          <w:szCs w:val="24"/>
        </w:rPr>
        <w:t xml:space="preserve">United States of America</w:t>
      </w:r>
    </w:p>
    <w:p>
      <w:pPr>
        <w:spacing w:before="0" w:after="120" w:line="480"/>
        <w:jc w:val="left"/>
      </w:pPr>
      <w:r>
        <w:rPr>
          <w:rFonts w:ascii="Times New Roman" w:cs="Times New Roman" w:eastAsia="Times New Roman" w:hAnsi="Times New Roman"/>
          <w:b/>
          <w:bCs/>
          <w:i w:val="false"/>
          <w:iCs w:val="false"/>
          <w:color w:val="000000"/>
          <w:sz w:val="24"/>
          <w:szCs w:val="24"/>
        </w:rPr>
        <w:t xml:space="preserve">Entity Status: </w:t>
      </w:r>
      <w:r>
        <w:rPr>
          <w:rFonts w:ascii="Times New Roman" w:cs="Times New Roman" w:eastAsia="Times New Roman" w:hAnsi="Times New Roman"/>
          <w:b w:val="false"/>
          <w:bCs w:val="false"/>
          <w:i w:val="false"/>
          <w:iCs w:val="false"/>
          <w:color w:val="000000"/>
          <w:sz w:val="24"/>
          <w:szCs w:val="24"/>
        </w:rPr>
        <w:t xml:space="preserve">Small Entity (37 CFR 1.27)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Docket: EAP-2026-004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2026-02-23T20:28:48.028Z</dcterms:created>
  <dcterms:modified xsi:type="dcterms:W3CDTF">2026-02-23T20:28:48.028Z</dcterms:modified>
</cp:coreProperties>
</file>

<file path=docProps/custom.xml><?xml version="1.0" encoding="utf-8"?>
<Properties xmlns="http://schemas.openxmlformats.org/officeDocument/2006/custom-properties" xmlns:vt="http://schemas.openxmlformats.org/officeDocument/2006/docPropsVTypes"/>
</file>