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line="276"/>
        <w:jc w:val="center"/>
      </w:pPr>
      <w:r>
        <w:rPr>
          <w:rFonts w:ascii="Times New Roman" w:cs="Times New Roman" w:eastAsia="Times New Roman" w:hAnsi="Times New Roman"/>
          <w:b/>
          <w:bCs/>
          <w:i w:val="false"/>
          <w:iCs w:val="false"/>
          <w:color w:val="000000"/>
          <w:sz w:val="28"/>
          <w:szCs w:val="28"/>
        </w:rPr>
        <w:t xml:space="preserve">UNITED STATES PATENT AND TRADEMARK OFFICE</w:t>
      </w:r>
    </w:p>
    <w:p>
      <w:pPr>
        <w:spacing w:before="0" w:after="200" w:line="276"/>
        <w:jc w:val="center"/>
      </w:pPr>
      <w:r>
        <w:rPr>
          <w:rFonts w:ascii="Times New Roman" w:cs="Times New Roman" w:eastAsia="Times New Roman" w:hAnsi="Times New Roman"/>
          <w:b w:val="false"/>
          <w:bCs w:val="false"/>
          <w:i w:val="false"/>
          <w:iCs w:val="false"/>
          <w:color w:val="999999"/>
          <w:sz w:val="24"/>
          <w:szCs w:val="24"/>
        </w:rPr>
        <w:t xml:space="preserve">──────────────────────────────────────────────────</w:t>
      </w:r>
    </w:p>
    <w:p>
      <w:pPr>
        <w:spacing w:before="0" w:after="60" w:line="276"/>
        <w:jc w:val="center"/>
      </w:pPr>
      <w:r>
        <w:rPr>
          <w:rFonts w:ascii="Times New Roman" w:cs="Times New Roman" w:eastAsia="Times New Roman" w:hAnsi="Times New Roman"/>
          <w:b/>
          <w:bCs/>
          <w:i w:val="false"/>
          <w:iCs w:val="false"/>
          <w:color w:val="000000"/>
          <w:sz w:val="26"/>
          <w:szCs w:val="26"/>
        </w:rPr>
        <w:t xml:space="preserve">PROVISIONAL APPLICATION FOR PATENT COVER SHEET</w:t>
      </w:r>
    </w:p>
    <w:p>
      <w:pPr>
        <w:spacing w:before="0" w:after="400" w:line="276"/>
        <w:jc w:val="center"/>
      </w:pPr>
      <w:r>
        <w:rPr>
          <w:rFonts w:ascii="Times New Roman" w:cs="Times New Roman" w:eastAsia="Times New Roman" w:hAnsi="Times New Roman"/>
          <w:b w:val="false"/>
          <w:bCs w:val="false"/>
          <w:i w:val="false"/>
          <w:iCs w:val="false"/>
          <w:color w:val="000000"/>
          <w:sz w:val="20"/>
          <w:szCs w:val="20"/>
        </w:rPr>
        <w:t xml:space="preserve">(37 CFR 1.53(c))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TITLE OF INVENTION: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Integrated Contractor Intelligence Center with Multi-Source Cost Aggregation, Pricing Confidence Quantification, and Data-Driven Estimation Accuracy Improvement</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INVENTOR: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Dylan Langone</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RESIDENCE: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621 Wakefield Rd, West Newfield, ME 04095</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CITIZENSHIP:</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United States</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ENTITY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Small Entity (37 CFR 1.27)</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FEE: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$130.00 (Small Entity — 37 CFR 1.16(d))</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DOCKET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EAP-2026-005</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APPLICATION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 be assigned by USPTO]</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DATE: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[Date of Filing]</w:t>
            </w:r>
          </w:p>
        </w:tc>
      </w:tr>
    </w:tbl>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60" w:line="276"/>
        <w:jc w:val="left"/>
      </w:pPr>
      <w:r>
        <w:rPr>
          <w:rFonts w:ascii="Times New Roman" w:cs="Times New Roman" w:eastAsia="Times New Roman" w:hAnsi="Times New Roman"/>
          <w:b/>
          <w:bCs/>
          <w:i w:val="false"/>
          <w:iCs w:val="false"/>
          <w:color w:val="000000"/>
          <w:sz w:val="24"/>
          <w:szCs w:val="24"/>
        </w:rPr>
        <w:t xml:space="preserve">CORRESPONDENCE ADDRESS:</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621 Wakefield Rd</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West Newfield, ME 04095</w:t>
      </w:r>
    </w:p>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United States</w:t>
      </w:r>
    </w:p>
    <w:p>
      <w:pPr>
        <w:spacing w:before="0" w:after="200" w:line="276"/>
        <w:jc w:val="left"/>
      </w:pPr>
      <w:r>
        <w:rPr>
          <w:rFonts w:ascii="Times New Roman" w:cs="Times New Roman" w:eastAsia="Times New Roman" w:hAnsi="Times New Roman"/>
          <w:b/>
          <w:bCs/>
          <w:i w:val="false"/>
          <w:iCs w:val="false"/>
          <w:color w:val="000000"/>
          <w:sz w:val="24"/>
          <w:szCs w:val="24"/>
        </w:rPr>
        <w:t xml:space="preserve">CLASSIFICATION: </w:t>
      </w:r>
      <w:r>
        <w:rPr>
          <w:rFonts w:ascii="Times New Roman" w:cs="Times New Roman" w:eastAsia="Times New Roman" w:hAnsi="Times New Roman"/>
          <w:b w:val="false"/>
          <w:bCs w:val="false"/>
          <w:i w:val="false"/>
          <w:iCs w:val="false"/>
          <w:color w:val="000000"/>
          <w:sz w:val="24"/>
          <w:szCs w:val="24"/>
        </w:rPr>
        <w:t xml:space="preserve">G06Q 50/08; G06Q 10/06; G06F 16/26; G06N 20/00</w:t>
      </w:r>
    </w:p>
    <w:p>
      <w:pPr>
        <w:spacing w:before="0" w:after="200" w:line="276"/>
        <w:jc w:val="left"/>
      </w:pPr>
      <w:r>
        <w:rPr>
          <w:rFonts w:ascii="Times New Roman" w:cs="Times New Roman" w:eastAsia="Times New Roman" w:hAnsi="Times New Roman"/>
          <w:b/>
          <w:bCs/>
          <w:i w:val="false"/>
          <w:iCs w:val="false"/>
          <w:color w:val="000000"/>
          <w:sz w:val="24"/>
          <w:szCs w:val="24"/>
        </w:rPr>
        <w:t xml:space="preserve">RELATED APPLICATIONS: </w:t>
      </w:r>
      <w:r>
        <w:rPr>
          <w:rFonts w:ascii="Times New Roman" w:cs="Times New Roman" w:eastAsia="Times New Roman" w:hAnsi="Times New Roman"/>
          <w:b w:val="false"/>
          <w:bCs w:val="false"/>
          <w:i w:val="false"/>
          <w:iCs w:val="false"/>
          <w:color w:val="000000"/>
          <w:sz w:val="24"/>
          <w:szCs w:val="24"/>
        </w:rPr>
        <w:t xml:space="preserve">Co-pending provisional applications EAP-2026-001 through EAP-2026-004, filed concurrently.</w:t>
      </w:r>
    </w:p>
    <w:p>
      <w:pPr>
        <w:spacing w:before="0" w:after="2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276"/>
        <w:jc w:val="left"/>
      </w:pPr>
      <w:r>
        <w:rPr>
          <w:rFonts w:ascii="Times New Roman" w:cs="Times New Roman" w:eastAsia="Times New Roman" w:hAnsi="Times New Roman"/>
          <w:b w:val="false"/>
          <w:bCs w:val="false"/>
          <w:i/>
          <w:iCs/>
          <w:color w:val="000000"/>
          <w:sz w:val="20"/>
          <w:szCs w:val="20"/>
        </w:rPr>
        <w:t xml:space="preserve">This application claims the benefit of the filing date under 35 U.S.C. 111(b).</w:t>
      </w:r>
    </w:p>
    <w:p>
      <w:r>
        <w:br w:type="page"/>
      </w:r>
    </w:p>
    <w:p>
      <w:pPr>
        <w:spacing w:before="360" w:after="240" w:line="480"/>
        <w:jc w:val="center"/>
      </w:pPr>
      <w:r>
        <w:rPr>
          <w:rFonts w:ascii="Times New Roman" w:cs="Times New Roman" w:eastAsia="Times New Roman" w:hAnsi="Times New Roman"/>
          <w:b/>
          <w:bCs/>
          <w:sz w:val="24"/>
          <w:szCs w:val="24"/>
          <w:u w:val="single"/>
        </w:rPr>
        <w:t xml:space="preserve">SPECIFICATION</w:t>
      </w:r>
    </w:p>
    <w:p>
      <w:pPr>
        <w:spacing w:before="0" w:after="300" w:line="480"/>
        <w:jc w:val="center"/>
      </w:pPr>
      <w:r>
        <w:rPr>
          <w:rFonts w:ascii="Times New Roman" w:cs="Times New Roman" w:eastAsia="Times New Roman" w:hAnsi="Times New Roman"/>
          <w:b/>
          <w:bCs/>
          <w:i w:val="false"/>
          <w:iCs w:val="false"/>
          <w:color w:val="000000"/>
          <w:sz w:val="24"/>
          <w:szCs w:val="24"/>
        </w:rPr>
        <w:t xml:space="preserve">Integrated Contractor Intelligence Center with Multi-Source Cost Aggregation, Pricing Confidence Quantification, and Data-Driven Estimation Accuracy Improvement</w:t>
      </w:r>
    </w:p>
    <w:p>
      <w:pPr>
        <w:spacing w:before="360" w:after="240" w:line="480"/>
      </w:pPr>
      <w:r>
        <w:rPr>
          <w:rFonts w:ascii="Times New Roman" w:cs="Times New Roman" w:eastAsia="Times New Roman" w:hAnsi="Times New Roman"/>
          <w:b/>
          <w:bCs/>
          <w:sz w:val="24"/>
          <w:szCs w:val="24"/>
        </w:rPr>
        <w:t xml:space="preserve">CROSS-REFERENCE TO RELATED APPLICATIONS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This application is related to co-pending provisional patent applications filed concurrently herewith by the same inventor, including applications directed to a Persistent Multi-Layer Correction Training System, a Unified Construction Document Intelligence Pipeline with Supplier Invoice Parsing, an AI-Generated Branded Document Template Design System, and an AI-Generated Multi-Section Construction Proposal Engine.</w:t>
      </w:r>
    </w:p>
    <w:p>
      <w:pPr>
        <w:spacing w:before="360" w:after="240" w:line="480"/>
      </w:pPr>
      <w:r>
        <w:rPr>
          <w:rFonts w:ascii="Times New Roman" w:cs="Times New Roman" w:eastAsia="Times New Roman" w:hAnsi="Times New Roman"/>
          <w:b/>
          <w:bCs/>
          <w:sz w:val="24"/>
          <w:szCs w:val="24"/>
        </w:rPr>
        <w:t xml:space="preserve">FIELD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relates to business intelligence systems for the construction industry, and more particularly to a system and method for aggregating contractor pricing data from four distinct data sources—uploaded historical estimates, supplier invoices with normalized material pricing, AI-generated estimates with tracked user modifications, and bid outcome records—into a unified intelligence dashboard that quantifies AI estimation confidence through a multi-dimensional scoring algorithm and generates specific data acquisition recommendations to improve estimation accuracy.</w:t>
      </w:r>
    </w:p>
    <w:p>
      <w:pPr>
        <w:spacing w:before="360" w:after="240" w:line="480"/>
      </w:pPr>
      <w:r>
        <w:rPr>
          <w:rFonts w:ascii="Times New Roman" w:cs="Times New Roman" w:eastAsia="Times New Roman" w:hAnsi="Times New Roman"/>
          <w:b/>
          <w:bCs/>
          <w:sz w:val="24"/>
          <w:szCs w:val="24"/>
        </w:rPr>
        <w:t xml:space="preserve">BACKGROUND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Construction contractors currently lack a unified view of their pricing intelligence. Cost data is distributed across multiple disconnected systems: handwritten or spreadsheet-based historical estimates in filing cabinets and local drives, supplier invoices in accounting software or physical files, mental records of past project outcomes, and experiential knowledge of regional pricing norms. No single system aggregates all of these data sources into an integrated intelligence view.</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General-purpose business intelligence platforms such as Tableau, Power BI, and Looker can aggregate data from multiple sources into dashboards, but they: (a) require significant configuration and data pipeline engineering; (b) lack construction-specific data models, category taxonomies, and metrics; (c) do not interface with AI estimation systems; and (d) cannot quantify how data volume and diversity affect AI estimation confidence.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Construction-specific analytics tools within platforms such as Procore and CoConstruct provide project-level tracking and financial reporting, but they do not: (a) aggregate pricing data from AI-generated estimates alongside historical and supplier data; (b) quantify AI estimation confidence based on data completeness; or (c) generate specific recommendations for what data to provide next to maximize accuracy improvement.</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No existing system provides a construction-specific intelligence dashboard that aggregates four distinct data sources, computes a multi-dimensional estimation confidence score, and generates prioritized data acquisition recommendations.</w:t>
      </w:r>
    </w:p>
    <w:p>
      <w:pPr>
        <w:spacing w:before="360" w:after="240" w:line="480"/>
      </w:pPr>
      <w:r>
        <w:rPr>
          <w:rFonts w:ascii="Times New Roman" w:cs="Times New Roman" w:eastAsia="Times New Roman" w:hAnsi="Times New Roman"/>
          <w:b/>
          <w:bCs/>
          <w:sz w:val="24"/>
          <w:szCs w:val="24"/>
        </w:rPr>
        <w:t xml:space="preserve">BRIEF SUMMARY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provides a computer-implemented system and method for aggregating contractor pricing data from four distinct sources into a unified intelligence dashboard. The system computes a Pricing DNA Confidence Score using a multi-dimensional algorithm that evaluates data volume, diversity across project types, data recency, and cross-source corroboration. The system generates specific, prioritized recommendations for what data the contractor should provide next to maximize accuracy improvement, based on identified gaps in the data profile. The dashboard displays computed metrics including average costs per trade category, per-square-foot rates, markup percentages, labor rate trends, material price intelligence, supplier rankings, and bid outcome analytics.</w:t>
      </w:r>
    </w:p>
    <w:p>
      <w:pPr>
        <w:spacing w:before="360" w:after="240" w:line="480"/>
      </w:pPr>
      <w:r>
        <w:rPr>
          <w:rFonts w:ascii="Times New Roman" w:cs="Times New Roman" w:eastAsia="Times New Roman" w:hAnsi="Times New Roman"/>
          <w:b/>
          <w:bCs/>
          <w:sz w:val="24"/>
          <w:szCs w:val="24"/>
        </w:rPr>
        <w:t xml:space="preserve">DETAILED DESCRIPTION OF PREFERRED EMBODIMENTS</w:t>
      </w:r>
    </w:p>
    <w:p>
      <w:pPr>
        <w:spacing w:before="240" w:after="120" w:line="480"/>
      </w:pPr>
      <w:r>
        <w:rPr>
          <w:rFonts w:ascii="Times New Roman" w:cs="Times New Roman" w:eastAsia="Times New Roman" w:hAnsi="Times New Roman"/>
          <w:b/>
          <w:bCs/>
          <w:i/>
          <w:iCs/>
          <w:sz w:val="24"/>
          <w:szCs w:val="24"/>
        </w:rPr>
        <w:t xml:space="preserve">1. Data Source Integration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intelligence center aggregates data from four distinct sources, each contributing different types of pricing intelligence: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Source 1 — Uploaded Historical Estimates: Estimates from the contractor’s past projects, uploaded through the unified document pipeline and parsed for line items, categories, markups, labor rates, project types, square footages, and geographic locations. These represent the contractor’s actual historical pricing behavior.</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Source 2 — Supplier Invoices: Material pricing data extracted, normalized, and aggregated by the Supplier Invoice Intelligence System (described in the related co-pending application). Provides actual material costs with supplier and temporal context.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Source 3 — AI-Generated Estimates with User Modifications: Every estimate generated by the AI system, including all user modifications tracked through a prompt-to-edit interface. The delta between the AI-generated output and the user-modified final version provides implicit feedback on AI estimation accuracy. Modifications are classified by the Auto-Learner (described in the related co-pending application) as corrections, preferences, or scope changes.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Source 4 — Bid Outcome Records: Win/loss data linked to specific estimates. When a contractor records whether they won or lost a bid, and optionally the winning bid amount, this data enables analysis of pricing competitiveness and win-rate optimization.</w:t>
      </w:r>
    </w:p>
    <w:p>
      <w:pPr>
        <w:spacing w:before="240" w:after="120" w:line="480"/>
      </w:pPr>
      <w:r>
        <w:rPr>
          <w:rFonts w:ascii="Times New Roman" w:cs="Times New Roman" w:eastAsia="Times New Roman" w:hAnsi="Times New Roman"/>
          <w:b/>
          <w:bCs/>
          <w:i/>
          <w:iCs/>
          <w:sz w:val="24"/>
          <w:szCs w:val="24"/>
        </w:rPr>
        <w:t xml:space="preserve">2. Pricing DNA Confidence Score Algorithm</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Pricing DNA Confidence Score quantifies the AI system’s confidence level for generating accurate estimates for a specific contractor. The score is computed as a weighted composite of four dimensions: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Dimension 1 — Volume Score (weight: 0.30): Measures the total quantity of data across all sources. Computed as: V = min(1.0, (N_estimates / T_est + N_invoices / T_inv + N_ai_estimates / T_ai) / 3), where N_estimates is the number of uploaded historical estimates, N_invoices is the number of parsed supplier invoices, N_ai_estimates is the number of AI-generated estimates with tracked modifications, and T_est, T_inv, T_ai are configurable target thresholds (defaults: T_est = 20, T_inv = 50, T_ai = 30). The function saturates at 1.0, meaning additional data beyond thresholds does not further increase the volume score.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Dimension 2 — Diversity Score (weight: 0.25): Measures coverage across project types, trade categories, and price ranges. Computed as: D = (C_types / T_types + C_categories / T_categories + C_priceranges / T_priceranges) / 3, where C_types is the count of distinct project types represented in the data (e.g., new construction, renovation, addition, repair), C_categories is the count of distinct trade categories with at least 3 data points, C_priceranges is the count of distinct price quartiles represented, and T_types, T_categories, T_priceranges are target thresholds (defaults: 5, 12, 4). This dimension penalizes contractors who have uploaded many estimates but all for the same project type.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Dimension 3 — Recency Score (weight: 0.25): Measures the freshness of the data. Computed as: R = sum(w_i) / N_total, where for each data point i, w_i = 1.0 if age &lt; 90 days, w_i = 0.75 if age &lt; 180 days, w_i = 0.5 if age &lt; 365 days, w_i = 0.25 if age &gt;= 365 days, and N_total is the total number of data points. This dimension recognizes that material prices and labor rates change over time and older data is less reliable.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Dimension 4 — Corroboration Score (weight: 0.20): Measures the degree to which different data sources agree on pricing for the same categories. Computed as: B = 1 - (avg_deviation / max_acceptable_deviation), where avg_deviation is the average percentage difference between prices for the same category across different sources (e.g., historical estimate lumber pricing vs. supplier invoice lumber pricing vs. AI-generated lumber pricing), clamped to [0, 1]. Higher corroboration (lower deviation) indicates more reliable pricing data.</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composite Pricing DNA Confidence Score is: S = 0.30 * V + 0.25 * D + 0.25 * R + 0.20 * B, yielding a value between 0.0 and 1.0. The score is displayed to the contractor as a percentage and visually as a meter with three zones: Red (0-40%, “Limited Data — Estimates are based primarily on market averages”), Yellow (40-70%, “Growing Intelligence — Estimates are increasingly personalized”), and Green (70-100%, “Strong Intelligence — Estimates closely reflect your actual costs”).</w:t>
      </w:r>
    </w:p>
    <w:p>
      <w:pPr>
        <w:spacing w:before="240" w:after="120" w:line="480"/>
      </w:pPr>
      <w:r>
        <w:rPr>
          <w:rFonts w:ascii="Times New Roman" w:cs="Times New Roman" w:eastAsia="Times New Roman" w:hAnsi="Times New Roman"/>
          <w:b/>
          <w:bCs/>
          <w:i/>
          <w:iCs/>
          <w:sz w:val="24"/>
          <w:szCs w:val="24"/>
        </w:rPr>
        <w:t xml:space="preserve">3. Data Acquisition Recommendation Engine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Based on the dimensional breakdown of the Pricing DNA Confidence Score, the system generates specific, prioritized recommendations for what data the contractor should provide next to achieve the greatest improvement in estimation accuracy. The recommendation engine operates as follows: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1: Identify the lowest-scoring dimension among Volume, Diversity, Recency, and Corroboration.</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2: Within that dimension, identify the specific gap. For Volume: which source type (historical estimates, invoices, AI estimates) has the fewest data points relative to its target. For Diversity: which project types or trade categories are unrepresented. For Recency: what percentage of data is stale (&gt;365 days). For Corroboration: which categories have the highest cross-source pricing deviation.</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3: Generate a natural language recommendation targeted at the specific gap. Examples: “Upload 5 more supplier invoices from your lumber supplier to improve material pricing accuracy”; “You have strong data for new construction but none for renovations — upload 3 renovation estimates to expand coverage”; “Your plumbing pricing data is over 12 months old — upload recent plumbing invoices to refresh pricing.”</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4: Rank recommendations by expected score improvement and present the top three to the contractor.</w:t>
      </w:r>
    </w:p>
    <w:p>
      <w:pPr>
        <w:spacing w:before="240" w:after="120" w:line="480"/>
      </w:pPr>
      <w:r>
        <w:rPr>
          <w:rFonts w:ascii="Times New Roman" w:cs="Times New Roman" w:eastAsia="Times New Roman" w:hAnsi="Times New Roman"/>
          <w:b/>
          <w:bCs/>
          <w:i/>
          <w:iCs/>
          <w:sz w:val="24"/>
          <w:szCs w:val="24"/>
        </w:rPr>
        <w:t xml:space="preserve">4. Dashboard Metrics and Visualizations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intelligence dashboard displays the following computed metrics: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Category Cost Analytics: Average cost per trade category computed from all sources, with per-square-foot rates (total category cost / project square footage), markup percentages (comparing estimated costs to material costs from invoices), and labor rate estimates (computed from the difference between total category cost and material costs). Each metric displays the number of data points contributing to the average.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Material Price Library: Full-text searchable, category-filterable view of all materials with normalized names, average price, last price, min/max range, number of data points, price trend chart (sparkline showing price over time), and best supplier identification.</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Supplier Rankings: Top suppliers ranked by total spend, invoice count, unique item count, and average pricing competitiveness relative to other suppliers for the same materials.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Bid Analytics: Win rate by project type, average bid-to-win ratio, pricing competitiveness analysis comparing winning bids to losing bids, and trend analysis of win rate over time.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AI Accuracy Metrics: Average modification rate (percentage of AI-generated line items modified by users), modification magnitude (average percentage change), and accuracy trend over time showing improvement as more data is ingested.</w:t>
      </w:r>
    </w:p>
    <w:p>
      <w:pPr>
        <w:spacing w:before="240" w:after="120" w:line="480"/>
      </w:pPr>
      <w:r>
        <w:rPr>
          <w:rFonts w:ascii="Times New Roman" w:cs="Times New Roman" w:eastAsia="Times New Roman" w:hAnsi="Times New Roman"/>
          <w:b/>
          <w:bCs/>
          <w:i/>
          <w:iCs/>
          <w:sz w:val="24"/>
          <w:szCs w:val="24"/>
        </w:rPr>
        <w:t xml:space="preserve">5. Real-Time Updates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All dashboard metrics update in real-time as new documents are uploaded, estimates are generated, or bid outcomes are recorded. The Pricing DNA Confidence Score recalculates after each new data ingestion, and recommendations refresh based on the updated dimensional breakdown.</w:t>
      </w:r>
    </w:p>
    <w:p>
      <w:r>
        <w:br w:type="page"/>
      </w:r>
    </w:p>
    <w:p>
      <w:pPr>
        <w:spacing w:before="360" w:after="240" w:line="480"/>
        <w:jc w:val="center"/>
      </w:pPr>
      <w:r>
        <w:rPr>
          <w:rFonts w:ascii="Times New Roman" w:cs="Times New Roman" w:eastAsia="Times New Roman" w:hAnsi="Times New Roman"/>
          <w:b/>
          <w:bCs/>
          <w:sz w:val="24"/>
          <w:szCs w:val="24"/>
          <w:u w:val="single"/>
        </w:rPr>
        <w:t xml:space="preserve">CLAIMS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What is claimed is: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computer-implemented method for generating a contractor pricing intelligence dashboard comprising: aggregating pricing data from at least four distinct sources comprising uploaded historical estimates parsed for line items and markups, supplier invoices parsed and normalized for material pricing, AI-generated estimates with tracked user modifications, and bid outcome records linking win/loss data to specific estimates; computing a multi-dimensional Pricing DNA Confidence Score quantifying AI estimation reliability as a weighted composite of: a volume score measuring total data quantity across sources relative to configurable target thresholds, a diversity score measuring coverage across project types and trade categories, a recency score weighting each data point by age with more recent data weighted higher, and a corroboration score measuring cross-source pricing agreement for the same categories; generating specific data acquisition recommendations by identifying the lowest-scoring dimension, locating the specific gap within that dimension, and producing natural language recommendations ranked by expected score improvement; and displaying aggregated pricing metrics, the confidence score, and ranked recommendations in a unified dashboard.</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2. The method of claim 1, </w:t>
      </w:r>
      <w:r>
        <w:rPr>
          <w:rFonts w:ascii="Times New Roman" w:cs="Times New Roman" w:eastAsia="Times New Roman" w:hAnsi="Times New Roman"/>
          <w:b w:val="false"/>
          <w:bCs w:val="false"/>
          <w:i w:val="false"/>
          <w:iCs w:val="false"/>
          <w:color w:val="000000"/>
          <w:sz w:val="24"/>
          <w:szCs w:val="24"/>
        </w:rPr>
        <w:t xml:space="preserve">wherein the volume score is computed as V = min(1.0, (N_estimates / T_est + N_invoices / T_inv + N_ai_estimates / T_ai) / 3), where N values represent counts of data from each source type and T values represent configurable target thresholds, and the function saturates at 1.0.</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3. The method of claim 1, </w:t>
      </w:r>
      <w:r>
        <w:rPr>
          <w:rFonts w:ascii="Times New Roman" w:cs="Times New Roman" w:eastAsia="Times New Roman" w:hAnsi="Times New Roman"/>
          <w:b w:val="false"/>
          <w:bCs w:val="false"/>
          <w:i w:val="false"/>
          <w:iCs w:val="false"/>
          <w:color w:val="000000"/>
          <w:sz w:val="24"/>
          <w:szCs w:val="24"/>
        </w:rPr>
        <w:t xml:space="preserve">wherein the recency score weights each data point by age using a tiered decay function assigning full weight to data less than 90 days old, reduced weight to data between 90 and 365 days old, and minimal weight to data older than 365 days.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4. The method of claim 1, </w:t>
      </w:r>
      <w:r>
        <w:rPr>
          <w:rFonts w:ascii="Times New Roman" w:cs="Times New Roman" w:eastAsia="Times New Roman" w:hAnsi="Times New Roman"/>
          <w:b w:val="false"/>
          <w:bCs w:val="false"/>
          <w:i w:val="false"/>
          <w:iCs w:val="false"/>
          <w:color w:val="000000"/>
          <w:sz w:val="24"/>
          <w:szCs w:val="24"/>
        </w:rPr>
        <w:t xml:space="preserve">wherein the corroboration score measures the average percentage deviation between prices for the same trade category across different data sources, with lower deviation indicating higher corroboration and yielding a higher score.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5. The method of claim 1, </w:t>
      </w:r>
      <w:r>
        <w:rPr>
          <w:rFonts w:ascii="Times New Roman" w:cs="Times New Roman" w:eastAsia="Times New Roman" w:hAnsi="Times New Roman"/>
          <w:b w:val="false"/>
          <w:bCs w:val="false"/>
          <w:i w:val="false"/>
          <w:iCs w:val="false"/>
          <w:color w:val="000000"/>
          <w:sz w:val="24"/>
          <w:szCs w:val="24"/>
        </w:rPr>
        <w:t xml:space="preserve">wherein the data acquisition recommendation engine identifies the lowest-scoring confidence dimension, determines the specific data gap within that dimension, generates a natural language recommendation describing the specific data to upload and the expected benefit, and ranks multiple recommendations by projected score improvement.</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6. The method of claim 1, </w:t>
      </w:r>
      <w:r>
        <w:rPr>
          <w:rFonts w:ascii="Times New Roman" w:cs="Times New Roman" w:eastAsia="Times New Roman" w:hAnsi="Times New Roman"/>
          <w:b w:val="false"/>
          <w:bCs w:val="false"/>
          <w:i w:val="false"/>
          <w:iCs w:val="false"/>
          <w:color w:val="000000"/>
          <w:sz w:val="24"/>
          <w:szCs w:val="24"/>
        </w:rPr>
        <w:t xml:space="preserve">further comprising bid analytics that compute win rate by project type, average bid-to-win ratio, and pricing competitiveness analysis comparing successful and unsuccessful bids from the bid outcome records.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7. The method of claim 1, </w:t>
      </w:r>
      <w:r>
        <w:rPr>
          <w:rFonts w:ascii="Times New Roman" w:cs="Times New Roman" w:eastAsia="Times New Roman" w:hAnsi="Times New Roman"/>
          <w:b w:val="false"/>
          <w:bCs w:val="false"/>
          <w:i w:val="false"/>
          <w:iCs w:val="false"/>
          <w:color w:val="000000"/>
          <w:sz w:val="24"/>
          <w:szCs w:val="24"/>
        </w:rPr>
        <w:t xml:space="preserve">further comprising AI accuracy metrics computed from the tracked user modifications to AI-generated estimates, including average modification rate, average modification magnitude, and accuracy trend over time.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A system for contractor pricing intelligence comprising: a multi-source data aggregation module configured to ingest parsed historical estimates, normalized supplier invoice data, AI-generated estimates with tracked modifications, and bid outcome records; a Pricing DNA Confidence Engine configured to compute a multi-dimensional confidence score as a weighted composite of volume, diversity, recency, and corroboration dimensions using the algorithms specified in claims 2-4; a recommendation engine configured to identify data gaps and generate prioritized natural language recommendations for data acquisition; and a dashboard rendering module configured to display aggregated pricing metrics, the confidence score with visual indication, and ranked recommendations with real-time updates upon new data ingestion.</w:t>
      </w:r>
    </w:p>
    <w:p>
      <w:r>
        <w:br w:type="page"/>
      </w:r>
    </w:p>
    <w:p>
      <w:pPr>
        <w:spacing w:before="360" w:after="240" w:line="480"/>
        <w:jc w:val="center"/>
      </w:pPr>
      <w:r>
        <w:rPr>
          <w:rFonts w:ascii="Times New Roman" w:cs="Times New Roman" w:eastAsia="Times New Roman" w:hAnsi="Times New Roman"/>
          <w:b/>
          <w:bCs/>
          <w:sz w:val="24"/>
          <w:szCs w:val="24"/>
          <w:u w:val="single"/>
        </w:rPr>
        <w:t xml:space="preserve">ABSTRACT</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 computer-implemented system and method for aggregating contractor pricing data from four distinct sources—historical estimates, supplier invoices, AI-generated estimates with user modifications, and bid outcomes—into a unified intelligence dashboard. A Pricing DNA Confidence Score quantifies AI estimation reliability through a multi-dimensional algorithm evaluating data volume, diversity across project types, data recency with age-based decay weighting, and cross-source pricing corroboration. A recommendation engine identifies the lowest-scoring dimension, locates specific data gaps, and generates prioritized natural language recommendations for data acquisition ranked by expected accuracy improvement. The dashboard displays aggregated cost metrics, material pricing intelligence, supplier rankings, bid analytics, and AI accuracy trends with real-time updates.</w:t>
      </w:r>
    </w:p>
    <w:p>
      <w:r>
        <w:br w:type="page"/>
      </w:r>
    </w:p>
    <w:p>
      <w:pPr>
        <w:spacing w:before="360" w:after="240" w:line="480"/>
        <w:jc w:val="center"/>
      </w:pPr>
      <w:r>
        <w:rPr>
          <w:rFonts w:ascii="Times New Roman" w:cs="Times New Roman" w:eastAsia="Times New Roman" w:hAnsi="Times New Roman"/>
          <w:b/>
          <w:bCs/>
          <w:sz w:val="24"/>
          <w:szCs w:val="24"/>
          <w:u w:val="single"/>
        </w:rPr>
        <w:t xml:space="preserve">INVENTOR'S DECLARATION</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I, Dylan Langone, declare that:</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(1) I am the original and sole inventor of the subject matter which is claimed and for which a patent is sought in this provisional application;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(2) I have reviewed and understand the contents of the above-identified specification, including the claims, as amended by any amendment specifically referred to herein;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(3) I believe the subject matter claimed in this application to be novel and patentable;</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(4) I acknowledge my duty to disclose information which is material to patentability as defined in 37 CFR 1.56;</w:t>
      </w:r>
    </w:p>
    <w:p>
      <w:pPr>
        <w:spacing w:before="0" w:after="400" w:line="480"/>
        <w:ind w:left="720"/>
        <w:jc w:val="left"/>
      </w:pPr>
      <w:r>
        <w:rPr>
          <w:rFonts w:ascii="Times New Roman" w:cs="Times New Roman" w:eastAsia="Times New Roman" w:hAnsi="Times New Roman"/>
          <w:b w:val="false"/>
          <w:bCs w:val="false"/>
          <w:i w:val="false"/>
          <w:iCs w:val="false"/>
          <w:color w:val="000000"/>
          <w:sz w:val="24"/>
          <w:szCs w:val="24"/>
        </w:rPr>
        <w:t xml:space="preserve">(5) I hereby declare that all statements made herein of my own knowledge are true and that all statements made on information and belief are believed to be true.</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Inventor 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Printed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Residence: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w:t>
      </w:r>
    </w:p>
    <w:p>
      <w:r>
        <w:br w:type="page"/>
      </w:r>
    </w:p>
    <w:p>
      <w:pPr>
        <w:spacing w:before="360" w:after="240" w:line="480"/>
        <w:jc w:val="center"/>
      </w:pPr>
      <w:r>
        <w:rPr>
          <w:rFonts w:ascii="Times New Roman" w:cs="Times New Roman" w:eastAsia="Times New Roman" w:hAnsi="Times New Roman"/>
          <w:b/>
          <w:bCs/>
          <w:sz w:val="24"/>
          <w:szCs w:val="24"/>
          <w:u w:val="single"/>
        </w:rPr>
        <w:t xml:space="preserve">SIGNATURE PAGE</w:t>
      </w:r>
    </w:p>
    <w:p>
      <w:pPr>
        <w:spacing w:before="0" w:after="400" w:line="480"/>
        <w:jc w:val="left"/>
      </w:pPr>
      <w:r>
        <w:rPr>
          <w:rFonts w:ascii="Times New Roman" w:cs="Times New Roman" w:eastAsia="Times New Roman" w:hAnsi="Times New Roman"/>
          <w:b w:val="false"/>
          <w:bCs w:val="false"/>
          <w:i w:val="false"/>
          <w:iCs w:val="false"/>
          <w:color w:val="000000"/>
          <w:sz w:val="24"/>
          <w:szCs w:val="24"/>
        </w:rPr>
        <w:t xml:space="preserve">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Full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bCs/>
          <w:i w:val="false"/>
          <w:iCs w:val="false"/>
          <w:color w:val="000000"/>
          <w:sz w:val="24"/>
          <w:szCs w:val="24"/>
        </w:rPr>
        <w:t xml:space="preserve">Address: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 of America</w:t>
      </w:r>
    </w:p>
    <w:p>
      <w:pPr>
        <w:spacing w:before="0" w:after="120" w:line="480"/>
        <w:jc w:val="left"/>
      </w:pPr>
      <w:r>
        <w:rPr>
          <w:rFonts w:ascii="Times New Roman" w:cs="Times New Roman" w:eastAsia="Times New Roman" w:hAnsi="Times New Roman"/>
          <w:b/>
          <w:bCs/>
          <w:i w:val="false"/>
          <w:iCs w:val="false"/>
          <w:color w:val="000000"/>
          <w:sz w:val="24"/>
          <w:szCs w:val="24"/>
        </w:rPr>
        <w:t xml:space="preserve">Entity Status: </w:t>
      </w:r>
      <w:r>
        <w:rPr>
          <w:rFonts w:ascii="Times New Roman" w:cs="Times New Roman" w:eastAsia="Times New Roman" w:hAnsi="Times New Roman"/>
          <w:b w:val="false"/>
          <w:bCs w:val="false"/>
          <w:i w:val="false"/>
          <w:iCs w:val="false"/>
          <w:color w:val="000000"/>
          <w:sz w:val="24"/>
          <w:szCs w:val="24"/>
        </w:rPr>
        <w:t xml:space="preserve">Small Entity (37 CFR 1.27)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Docket: EAP-2026-005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2026-02-23T20:28:48.216Z</dcterms:created>
  <dcterms:modified xsi:type="dcterms:W3CDTF">2026-02-23T20:28:48.217Z</dcterms:modified>
</cp:coreProperties>
</file>

<file path=docProps/custom.xml><?xml version="1.0" encoding="utf-8"?>
<Properties xmlns="http://schemas.openxmlformats.org/officeDocument/2006/custom-properties" xmlns:vt="http://schemas.openxmlformats.org/officeDocument/2006/docPropsVTypes"/>
</file>