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i w:val="0"/>
          <w:color w:val="113A5C"/>
          <w:sz w:val="48"/>
        </w:rPr>
        <w:t>Inspection.OS</w:t>
      </w:r>
    </w:p>
    <w:p>
      <w:pPr>
        <w:jc w:val="center"/>
      </w:pPr>
      <w:r>
        <w:rPr>
          <w:rFonts w:ascii="Aptos" w:hAnsi="Aptos"/>
          <w:b w:val="0"/>
          <w:i w:val="0"/>
          <w:color w:val="4D5C67"/>
          <w:sz w:val="26"/>
        </w:rPr>
        <w:t>MVP and Detailed Phasing Plan</w:t>
      </w:r>
    </w:p>
    <w:p>
      <w:pPr>
        <w:jc w:val="center"/>
      </w:pPr>
      <w:r>
        <w:rPr>
          <w:rFonts w:ascii="Aptos" w:hAnsi="Aptos"/>
          <w:b w:val="0"/>
          <w:i w:val="0"/>
          <w:color w:val="777777"/>
          <w:sz w:val="21"/>
        </w:rPr>
        <w:t>Working draft v1.0 - March 22, 2026</w:t>
      </w:r>
    </w:p>
    <w:p/>
    <w:tbl>
      <w:tblPr>
        <w:tblW w:type="auto" w:w="0"/>
        <w:jc w:val="center"/>
        <w:tblLook w:firstColumn="1" w:firstRow="1" w:lastColumn="0" w:lastRow="0" w:noHBand="0" w:noVBand="1" w:val="04A0"/>
      </w:tblPr>
      <w:tblGrid>
        <w:gridCol w:w="9936"/>
      </w:tblGrid>
      <w:tr>
        <w:tc>
          <w:tcPr>
            <w:tcW w:type="dxa" w:w="8352"/>
            <w:shd w:fill="EAF2F8"/>
            <w:tcMar>
              <w:top w:w="150" w:type="dxa"/>
              <w:start w:w="180" w:type="dxa"/>
              <w:bottom w:w="150" w:type="dxa"/>
              <w:end w:w="180" w:type="dxa"/>
            </w:tcMar>
          </w:tcPr>
          <w:p>
            <w:pPr>
              <w:spacing w:after="80"/>
              <w:jc w:val="left"/>
            </w:pPr>
            <w:r>
              <w:rPr>
                <w:rFonts w:ascii="Aptos" w:hAnsi="Aptos"/>
                <w:b w:val="0"/>
                <w:i w:val="0"/>
                <w:color w:val="2F3A40"/>
                <w:sz w:val="21"/>
              </w:rPr>
              <w:t>Purpose: convert the working source set into a sequenced delivery plan with release gates, dependencies, and field validation loops.</w:t>
            </w:r>
          </w:p>
          <w:p>
            <w:pPr>
              <w:spacing w:after="80"/>
              <w:jc w:val="left"/>
            </w:pPr>
            <w:r>
              <w:rPr>
                <w:rFonts w:ascii="Aptos" w:hAnsi="Aptos"/>
                <w:b w:val="0"/>
                <w:i w:val="0"/>
                <w:color w:val="2F3A40"/>
                <w:sz w:val="21"/>
              </w:rPr>
              <w:t>Audience: founder, product lead, engineering lead, design lead, and pilot project sponsors.</w:t>
            </w:r>
          </w:p>
        </w:tc>
      </w:tr>
    </w:tbl>
    <w:p>
      <w:r>
        <w:br w:type="page"/>
      </w:r>
    </w:p>
    <w:p>
      <w:pPr>
        <w:pStyle w:val="Heading1"/>
        <w:keepNext/>
        <w:spacing w:after="120" w:before="0" w:line="276" w:lineRule="auto"/>
      </w:pPr>
      <w:r>
        <w:rPr>
          <w:rFonts w:ascii="Aptos" w:hAnsi="Aptos"/>
          <w:b w:val="0"/>
          <w:i w:val="0"/>
          <w:sz w:val="22"/>
        </w:rPr>
        <w:t>Document Control</w:t>
      </w:r>
    </w:p>
    <w:tbl>
      <w:tblPr>
        <w:tblStyle w:val="TableGrid"/>
        <w:tblW w:type="auto" w:w="0"/>
        <w:jc w:val="center"/>
        <w:tblLook w:firstColumn="1" w:firstRow="1" w:lastColumn="0" w:lastRow="0" w:noHBand="0" w:noVBand="1" w:val="04A0"/>
      </w:tblPr>
      <w:tblGrid>
        <w:gridCol w:w="4968"/>
        <w:gridCol w:w="4968"/>
      </w:tblGrid>
      <w:tr>
        <w:tc>
          <w:tcPr>
            <w:tcW w:type="dxa" w:w="2592"/>
            <w:tcMar>
              <w:top w:w="80" w:type="dxa"/>
              <w:start w:w="100" w:type="dxa"/>
              <w:bottom w:w="80" w:type="dxa"/>
              <w:end w:w="100" w:type="dxa"/>
            </w:tcMar>
            <w:vAlign w:val="center"/>
            <w:shd w:fill="EAF2F8"/>
          </w:tcPr>
          <w:p>
            <w:pPr>
              <w:spacing w:after="20" w:line="259" w:lineRule="auto"/>
            </w:pPr>
            <w:r>
              <w:rPr>
                <w:rFonts w:ascii="Aptos" w:hAnsi="Aptos"/>
                <w:b/>
                <w:i w:val="0"/>
                <w:color w:val="113A5C"/>
                <w:sz w:val="20"/>
              </w:rPr>
              <w:t>Document type</w:t>
            </w:r>
          </w:p>
        </w:tc>
        <w:tc>
          <w:tcPr>
            <w:tcW w:type="dxa" w:w="7056"/>
            <w:tcMar>
              <w:top w:w="80" w:type="dxa"/>
              <w:start w:w="100" w:type="dxa"/>
              <w:bottom w:w="80" w:type="dxa"/>
              <w:end w:w="100" w:type="dxa"/>
            </w:tcMar>
            <w:vAlign w:val="center"/>
          </w:tcPr>
          <w:p>
            <w:pPr>
              <w:spacing w:after="20" w:line="259" w:lineRule="auto"/>
            </w:pPr>
            <w:r>
              <w:rPr>
                <w:rFonts w:ascii="Aptos" w:hAnsi="Aptos"/>
                <w:b w:val="0"/>
                <w:i w:val="0"/>
                <w:sz w:val="20"/>
              </w:rPr>
              <w:t>MVP and phasing plan</w:t>
            </w:r>
          </w:p>
        </w:tc>
      </w:tr>
      <w:tr>
        <w:tc>
          <w:tcPr>
            <w:tcW w:type="dxa" w:w="2592"/>
            <w:tcMar>
              <w:top w:w="80" w:type="dxa"/>
              <w:start w:w="100" w:type="dxa"/>
              <w:bottom w:w="80" w:type="dxa"/>
              <w:end w:w="100" w:type="dxa"/>
            </w:tcMar>
            <w:vAlign w:val="center"/>
            <w:shd w:fill="EAF2F8"/>
          </w:tcPr>
          <w:p>
            <w:pPr>
              <w:spacing w:after="20" w:line="259" w:lineRule="auto"/>
            </w:pPr>
            <w:r>
              <w:rPr>
                <w:rFonts w:ascii="Aptos" w:hAnsi="Aptos"/>
                <w:b/>
                <w:i w:val="0"/>
                <w:color w:val="113A5C"/>
                <w:sz w:val="20"/>
              </w:rPr>
              <w:t>Version</w:t>
            </w:r>
          </w:p>
        </w:tc>
        <w:tc>
          <w:tcPr>
            <w:tcW w:type="dxa" w:w="7056"/>
            <w:tcMar>
              <w:top w:w="80" w:type="dxa"/>
              <w:start w:w="100" w:type="dxa"/>
              <w:bottom w:w="80" w:type="dxa"/>
              <w:end w:w="100" w:type="dxa"/>
            </w:tcMar>
            <w:vAlign w:val="center"/>
          </w:tcPr>
          <w:p>
            <w:pPr>
              <w:spacing w:after="20" w:line="259" w:lineRule="auto"/>
            </w:pPr>
            <w:r>
              <w:rPr>
                <w:rFonts w:ascii="Aptos" w:hAnsi="Aptos"/>
                <w:b w:val="0"/>
                <w:i w:val="0"/>
                <w:sz w:val="20"/>
              </w:rPr>
              <w:t>v1.0 working draft</w:t>
            </w:r>
          </w:p>
        </w:tc>
      </w:tr>
      <w:tr>
        <w:tc>
          <w:tcPr>
            <w:tcW w:type="dxa" w:w="2592"/>
            <w:tcMar>
              <w:top w:w="80" w:type="dxa"/>
              <w:start w:w="100" w:type="dxa"/>
              <w:bottom w:w="80" w:type="dxa"/>
              <w:end w:w="100" w:type="dxa"/>
            </w:tcMar>
            <w:vAlign w:val="center"/>
            <w:shd w:fill="EAF2F8"/>
          </w:tcPr>
          <w:p>
            <w:pPr>
              <w:spacing w:after="20" w:line="259" w:lineRule="auto"/>
            </w:pPr>
            <w:r>
              <w:rPr>
                <w:rFonts w:ascii="Aptos" w:hAnsi="Aptos"/>
                <w:b/>
                <w:i w:val="0"/>
                <w:color w:val="113A5C"/>
                <w:sz w:val="20"/>
              </w:rPr>
              <w:t>Date</w:t>
            </w:r>
          </w:p>
        </w:tc>
        <w:tc>
          <w:tcPr>
            <w:tcW w:type="dxa" w:w="7056"/>
            <w:tcMar>
              <w:top w:w="80" w:type="dxa"/>
              <w:start w:w="100" w:type="dxa"/>
              <w:bottom w:w="80" w:type="dxa"/>
              <w:end w:w="100" w:type="dxa"/>
            </w:tcMar>
            <w:vAlign w:val="center"/>
          </w:tcPr>
          <w:p>
            <w:pPr>
              <w:spacing w:after="20" w:line="259" w:lineRule="auto"/>
            </w:pPr>
            <w:r>
              <w:rPr>
                <w:rFonts w:ascii="Aptos" w:hAnsi="Aptos"/>
                <w:b w:val="0"/>
                <w:i w:val="0"/>
                <w:sz w:val="20"/>
              </w:rPr>
              <w:t>2026-03-22</w:t>
            </w:r>
          </w:p>
        </w:tc>
      </w:tr>
      <w:tr>
        <w:tc>
          <w:tcPr>
            <w:tcW w:type="dxa" w:w="2592"/>
            <w:tcMar>
              <w:top w:w="80" w:type="dxa"/>
              <w:start w:w="100" w:type="dxa"/>
              <w:bottom w:w="80" w:type="dxa"/>
              <w:end w:w="100" w:type="dxa"/>
            </w:tcMar>
            <w:vAlign w:val="center"/>
            <w:shd w:fill="EAF2F8"/>
          </w:tcPr>
          <w:p>
            <w:pPr>
              <w:spacing w:after="20" w:line="259" w:lineRule="auto"/>
            </w:pPr>
            <w:r>
              <w:rPr>
                <w:rFonts w:ascii="Aptos" w:hAnsi="Aptos"/>
                <w:b/>
                <w:i w:val="0"/>
                <w:color w:val="113A5C"/>
                <w:sz w:val="20"/>
              </w:rPr>
              <w:t>Primary geography</w:t>
            </w:r>
          </w:p>
        </w:tc>
        <w:tc>
          <w:tcPr>
            <w:tcW w:type="dxa" w:w="7056"/>
            <w:tcMar>
              <w:top w:w="80" w:type="dxa"/>
              <w:start w:w="100" w:type="dxa"/>
              <w:bottom w:w="80" w:type="dxa"/>
              <w:end w:w="100" w:type="dxa"/>
            </w:tcMar>
            <w:vAlign w:val="center"/>
          </w:tcPr>
          <w:p>
            <w:pPr>
              <w:spacing w:after="20" w:line="259" w:lineRule="auto"/>
            </w:pPr>
            <w:r>
              <w:rPr>
                <w:rFonts w:ascii="Aptos" w:hAnsi="Aptos"/>
                <w:b w:val="0"/>
                <w:i w:val="0"/>
                <w:sz w:val="20"/>
              </w:rPr>
              <w:t>9 Bay Area counties, with city and agency variants</w:t>
            </w:r>
          </w:p>
        </w:tc>
      </w:tr>
      <w:tr>
        <w:tc>
          <w:tcPr>
            <w:tcW w:type="dxa" w:w="2592"/>
            <w:tcMar>
              <w:top w:w="80" w:type="dxa"/>
              <w:start w:w="100" w:type="dxa"/>
              <w:bottom w:w="80" w:type="dxa"/>
              <w:end w:w="100" w:type="dxa"/>
            </w:tcMar>
            <w:vAlign w:val="center"/>
            <w:shd w:fill="EAF2F8"/>
          </w:tcPr>
          <w:p>
            <w:pPr>
              <w:spacing w:after="20" w:line="259" w:lineRule="auto"/>
            </w:pPr>
            <w:r>
              <w:rPr>
                <w:rFonts w:ascii="Aptos" w:hAnsi="Aptos"/>
                <w:b/>
                <w:i w:val="0"/>
                <w:color w:val="113A5C"/>
                <w:sz w:val="20"/>
              </w:rPr>
              <w:t>Secondary geography</w:t>
            </w:r>
          </w:p>
        </w:tc>
        <w:tc>
          <w:tcPr>
            <w:tcW w:type="dxa" w:w="7056"/>
            <w:tcMar>
              <w:top w:w="80" w:type="dxa"/>
              <w:start w:w="100" w:type="dxa"/>
              <w:bottom w:w="80" w:type="dxa"/>
              <w:end w:w="100" w:type="dxa"/>
            </w:tcMar>
            <w:vAlign w:val="center"/>
          </w:tcPr>
          <w:p>
            <w:pPr>
              <w:spacing w:after="20" w:line="259" w:lineRule="auto"/>
            </w:pPr>
            <w:r>
              <w:rPr>
                <w:rFonts w:ascii="Aptos" w:hAnsi="Aptos"/>
                <w:b w:val="0"/>
                <w:i w:val="0"/>
                <w:sz w:val="20"/>
              </w:rPr>
              <w:t>Northern California expansion under same architecture</w:t>
            </w:r>
          </w:p>
        </w:tc>
      </w:tr>
      <w:tr>
        <w:tc>
          <w:tcPr>
            <w:tcW w:type="dxa" w:w="2592"/>
            <w:tcMar>
              <w:top w:w="80" w:type="dxa"/>
              <w:start w:w="100" w:type="dxa"/>
              <w:bottom w:w="80" w:type="dxa"/>
              <w:end w:w="100" w:type="dxa"/>
            </w:tcMar>
            <w:vAlign w:val="center"/>
            <w:shd w:fill="EAF2F8"/>
          </w:tcPr>
          <w:p>
            <w:pPr>
              <w:spacing w:after="20" w:line="259" w:lineRule="auto"/>
            </w:pPr>
            <w:r>
              <w:rPr>
                <w:rFonts w:ascii="Aptos" w:hAnsi="Aptos"/>
                <w:b/>
                <w:i w:val="0"/>
                <w:color w:val="113A5C"/>
                <w:sz w:val="20"/>
              </w:rPr>
              <w:t>Always-on programs</w:t>
            </w:r>
          </w:p>
        </w:tc>
        <w:tc>
          <w:tcPr>
            <w:tcW w:type="dxa" w:w="7056"/>
            <w:tcMar>
              <w:top w:w="80" w:type="dxa"/>
              <w:start w:w="100" w:type="dxa"/>
              <w:bottom w:w="80" w:type="dxa"/>
              <w:end w:w="100" w:type="dxa"/>
            </w:tcMar>
            <w:vAlign w:val="center"/>
          </w:tcPr>
          <w:p>
            <w:pPr>
              <w:spacing w:after="20" w:line="259" w:lineRule="auto"/>
            </w:pPr>
            <w:r>
              <w:rPr>
                <w:rFonts w:ascii="Aptos" w:hAnsi="Aptos"/>
                <w:b w:val="0"/>
                <w:i w:val="0"/>
                <w:sz w:val="20"/>
              </w:rPr>
              <w:t>California statewide permit, safety, environmental, and reporting frameworks</w:t>
            </w:r>
          </w:p>
        </w:tc>
      </w:tr>
    </w:tbl>
    <w:p>
      <w:pPr>
        <w:pStyle w:val="Heading3"/>
        <w:keepNext/>
        <w:spacing w:after="120" w:before="0" w:line="276" w:lineRule="auto"/>
      </w:pPr>
      <w:r>
        <w:rPr>
          <w:rFonts w:ascii="Aptos" w:hAnsi="Aptos"/>
          <w:b w:val="0"/>
          <w:i w:val="0"/>
          <w:sz w:val="22"/>
        </w:rPr>
        <w:t>Source basis</w:t>
      </w:r>
    </w:p>
    <w:p>
      <w:pPr>
        <w:pStyle w:val="ListBullet"/>
        <w:spacing w:after="40" w:line="269" w:lineRule="auto"/>
      </w:pPr>
      <w:r>
        <w:rPr>
          <w:rFonts w:ascii="Aptos" w:hAnsi="Aptos"/>
          <w:b w:val="0"/>
          <w:i w:val="0"/>
          <w:sz w:val="22"/>
        </w:rPr>
        <w:t>Inspection.OS.txt</w:t>
      </w:r>
    </w:p>
    <w:p>
      <w:pPr>
        <w:pStyle w:val="ListBullet"/>
        <w:spacing w:after="40" w:line="269" w:lineRule="auto"/>
      </w:pPr>
      <w:r>
        <w:rPr>
          <w:rFonts w:ascii="Aptos" w:hAnsi="Aptos"/>
          <w:b w:val="0"/>
          <w:i w:val="0"/>
          <w:sz w:val="22"/>
        </w:rPr>
        <w:t>InspectionOS_Full_Binder_2026-03-21 (1).pdf</w:t>
      </w:r>
    </w:p>
    <w:p>
      <w:pPr>
        <w:pStyle w:val="ListBullet"/>
        <w:spacing w:after="40" w:line="269" w:lineRule="auto"/>
      </w:pPr>
      <w:r>
        <w:rPr>
          <w:rFonts w:ascii="Aptos" w:hAnsi="Aptos"/>
          <w:b w:val="0"/>
          <w:i w:val="0"/>
          <w:sz w:val="22"/>
        </w:rPr>
        <w:t>InspectionOS_BayArea_Next_Pass_Binder_2026-03-21.pdf</w:t>
      </w:r>
    </w:p>
    <w:p>
      <w:pPr>
        <w:pStyle w:val="ListBullet"/>
        <w:spacing w:after="40" w:line="269" w:lineRule="auto"/>
      </w:pPr>
      <w:r>
        <w:rPr>
          <w:rFonts w:ascii="Aptos" w:hAnsi="Aptos"/>
          <w:b w:val="0"/>
          <w:i w:val="0"/>
          <w:sz w:val="22"/>
        </w:rPr>
        <w:t>InspectionOS_MVP_App_Native_Schema_Tables_2026-03-21.pdf</w:t>
      </w:r>
    </w:p>
    <w:p>
      <w:pPr>
        <w:pStyle w:val="ListBullet"/>
        <w:spacing w:after="40" w:line="269" w:lineRule="auto"/>
      </w:pPr>
      <w:r>
        <w:rPr>
          <w:rFonts w:ascii="Aptos" w:hAnsi="Aptos"/>
          <w:b w:val="0"/>
          <w:i w:val="0"/>
          <w:sz w:val="22"/>
        </w:rPr>
        <w:t>[COUNTY-Marin]_Building-Permit-Submittal-Checklist_Special-Inspection-Trigger.pdf</w:t>
      </w:r>
    </w:p>
    <w:p>
      <w:pPr>
        <w:pStyle w:val="ListBullet"/>
        <w:spacing w:after="40" w:line="269" w:lineRule="auto"/>
      </w:pPr>
      <w:r>
        <w:rPr>
          <w:rFonts w:ascii="Aptos" w:hAnsi="Aptos"/>
          <w:b w:val="0"/>
          <w:i w:val="0"/>
          <w:sz w:val="22"/>
        </w:rPr>
        <w:t>[COUNTY-Contra-Costa]_Special-Inspections-Program-and-Recognized-Agencies.pdf</w:t>
      </w:r>
    </w:p>
    <w:p>
      <w:pPr>
        <w:spacing w:after="120" w:before="0" w:line="276" w:lineRule="auto"/>
      </w:pPr>
    </w:p>
    <w:p>
      <w:pPr>
        <w:pStyle w:val="Heading1"/>
        <w:keepNext/>
        <w:spacing w:after="120" w:before="0" w:line="276" w:lineRule="auto"/>
      </w:pPr>
      <w:r>
        <w:rPr>
          <w:rFonts w:ascii="Aptos" w:hAnsi="Aptos"/>
          <w:b w:val="0"/>
          <w:i w:val="0"/>
          <w:sz w:val="22"/>
        </w:rPr>
        <w:t>MVP framing</w:t>
      </w:r>
    </w:p>
    <w:p>
      <w:pPr>
        <w:spacing w:after="120" w:before="0" w:line="276" w:lineRule="auto"/>
      </w:pPr>
      <w:r>
        <w:rPr>
          <w:rFonts w:ascii="Aptos" w:hAnsi="Aptos"/>
          <w:b w:val="0"/>
          <w:i w:val="0"/>
          <w:sz w:val="22"/>
        </w:rPr>
        <w:t>The MVP should replace paper inspections for internal and colleague use while establishing the runtime structures that allow monetization later. The phasing plan therefore prioritizes field reliability, rule clarity, and export defensibility over deep integrations.</w:t>
      </w:r>
    </w:p>
    <w:p>
      <w:pPr>
        <w:pStyle w:val="Heading2"/>
        <w:keepNext/>
        <w:spacing w:after="120" w:before="0" w:line="276" w:lineRule="auto"/>
      </w:pPr>
      <w:r>
        <w:rPr>
          <w:rFonts w:ascii="Aptos" w:hAnsi="Aptos"/>
          <w:b w:val="0"/>
          <w:i w:val="0"/>
          <w:sz w:val="22"/>
        </w:rPr>
        <w:t>Release phases</w:t>
      </w:r>
    </w:p>
    <w:tbl>
      <w:tblPr>
        <w:tblStyle w:val="TableGrid"/>
        <w:tblW w:type="auto" w:w="0"/>
        <w:jc w:val="center"/>
        <w:tblLook w:firstColumn="1" w:firstRow="1" w:lastColumn="0" w:lastRow="0" w:noHBand="0" w:noVBand="1" w:val="04A0"/>
      </w:tblPr>
      <w:tblGrid>
        <w:gridCol w:w="3312"/>
        <w:gridCol w:w="3312"/>
        <w:gridCol w:w="3312"/>
      </w:tblGrid>
      <w:tr>
        <w:tc>
          <w:tcPr>
            <w:tcW w:type="dxa" w:w="1296"/>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8"/>
              </w:rPr>
              <w:t>Phase</w:t>
            </w:r>
          </w:p>
        </w:tc>
        <w:tc>
          <w:tcPr>
            <w:tcW w:type="dxa" w:w="4752"/>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8"/>
              </w:rPr>
              <w:t>Primary objective</w:t>
            </w:r>
          </w:p>
        </w:tc>
        <w:tc>
          <w:tcPr>
            <w:tcW w:type="dxa" w:w="3456"/>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8"/>
              </w:rPr>
              <w:t>Exit gate</w:t>
            </w:r>
          </w:p>
        </w:tc>
      </w:tr>
      <w:tr>
        <w:tc>
          <w:tcPr>
            <w:tcW w:type="dxa" w:w="1296"/>
            <w:vAlign w:val="center"/>
            <w:tcMar>
              <w:top w:w="90" w:type="dxa"/>
              <w:start w:w="100" w:type="dxa"/>
              <w:bottom w:w="90" w:type="dxa"/>
              <w:end w:w="100" w:type="dxa"/>
            </w:tcMar>
          </w:tcPr>
          <w:p>
            <w:pPr>
              <w:spacing w:after="0" w:line="240" w:lineRule="auto"/>
              <w:jc w:val="center"/>
            </w:pPr>
            <w:r>
              <w:rPr>
                <w:rFonts w:ascii="Aptos" w:hAnsi="Aptos"/>
                <w:b w:val="0"/>
                <w:i w:val="0"/>
                <w:sz w:val="18"/>
              </w:rPr>
              <w:t>Phase 0</w:t>
            </w:r>
          </w:p>
        </w:tc>
        <w:tc>
          <w:tcPr>
            <w:tcW w:type="dxa" w:w="4752"/>
            <w:vAlign w:val="center"/>
            <w:tcMar>
              <w:top w:w="90" w:type="dxa"/>
              <w:start w:w="100" w:type="dxa"/>
              <w:bottom w:w="90" w:type="dxa"/>
              <w:end w:w="100" w:type="dxa"/>
            </w:tcMar>
          </w:tcPr>
          <w:p>
            <w:pPr>
              <w:spacing w:after="0" w:line="240" w:lineRule="auto"/>
              <w:jc w:val="left"/>
            </w:pPr>
            <w:r>
              <w:rPr>
                <w:rFonts w:ascii="Aptos" w:hAnsi="Aptos"/>
                <w:b w:val="0"/>
                <w:i w:val="0"/>
                <w:sz w:val="18"/>
              </w:rPr>
              <w:t>Foundations and data seeding</w:t>
            </w:r>
          </w:p>
        </w:tc>
        <w:tc>
          <w:tcPr>
            <w:tcW w:type="dxa" w:w="3456"/>
            <w:vAlign w:val="center"/>
            <w:tcMar>
              <w:top w:w="90" w:type="dxa"/>
              <w:start w:w="100" w:type="dxa"/>
              <w:bottom w:w="90" w:type="dxa"/>
              <w:end w:w="100" w:type="dxa"/>
            </w:tcMar>
          </w:tcPr>
          <w:p>
            <w:pPr>
              <w:spacing w:after="0" w:line="240" w:lineRule="auto"/>
              <w:jc w:val="left"/>
            </w:pPr>
            <w:r>
              <w:rPr>
                <w:rFonts w:ascii="Aptos" w:hAnsi="Aptos"/>
                <w:b w:val="0"/>
                <w:i w:val="0"/>
                <w:sz w:val="18"/>
              </w:rPr>
              <w:t>Core schemas, rule tables, template versions, and seed loaders working</w:t>
            </w:r>
          </w:p>
        </w:tc>
      </w:tr>
      <w:tr>
        <w:tc>
          <w:tcPr>
            <w:tcW w:type="dxa" w:w="1296"/>
            <w:vAlign w:val="center"/>
            <w:tcMar>
              <w:top w:w="90" w:type="dxa"/>
              <w:start w:w="100" w:type="dxa"/>
              <w:bottom w:w="90" w:type="dxa"/>
              <w:end w:w="100" w:type="dxa"/>
            </w:tcMar>
            <w:shd w:fill="F8FBFD"/>
          </w:tcPr>
          <w:p>
            <w:pPr>
              <w:spacing w:after="0" w:line="240" w:lineRule="auto"/>
              <w:jc w:val="center"/>
            </w:pPr>
            <w:r>
              <w:rPr>
                <w:rFonts w:ascii="Aptos" w:hAnsi="Aptos"/>
                <w:b w:val="0"/>
                <w:i w:val="0"/>
                <w:sz w:val="18"/>
              </w:rPr>
              <w:t>Phase 1</w:t>
            </w:r>
          </w:p>
        </w:tc>
        <w:tc>
          <w:tcPr>
            <w:tcW w:type="dxa" w:w="4752"/>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Internal alpha</w:t>
            </w:r>
          </w:p>
        </w:tc>
        <w:tc>
          <w:tcPr>
            <w:tcW w:type="dxa" w:w="3456"/>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Field team can complete inspections offline and export reviewable packets</w:t>
            </w:r>
          </w:p>
        </w:tc>
      </w:tr>
      <w:tr>
        <w:tc>
          <w:tcPr>
            <w:tcW w:type="dxa" w:w="1296"/>
            <w:vAlign w:val="center"/>
            <w:tcMar>
              <w:top w:w="90" w:type="dxa"/>
              <w:start w:w="100" w:type="dxa"/>
              <w:bottom w:w="90" w:type="dxa"/>
              <w:end w:w="100" w:type="dxa"/>
            </w:tcMar>
          </w:tcPr>
          <w:p>
            <w:pPr>
              <w:spacing w:after="0" w:line="240" w:lineRule="auto"/>
              <w:jc w:val="center"/>
            </w:pPr>
            <w:r>
              <w:rPr>
                <w:rFonts w:ascii="Aptos" w:hAnsi="Aptos"/>
                <w:b w:val="0"/>
                <w:i w:val="0"/>
                <w:sz w:val="18"/>
              </w:rPr>
              <w:t>Phase 2</w:t>
            </w:r>
          </w:p>
        </w:tc>
        <w:tc>
          <w:tcPr>
            <w:tcW w:type="dxa" w:w="4752"/>
            <w:vAlign w:val="center"/>
            <w:tcMar>
              <w:top w:w="90" w:type="dxa"/>
              <w:start w:w="100" w:type="dxa"/>
              <w:bottom w:w="90" w:type="dxa"/>
              <w:end w:w="100" w:type="dxa"/>
            </w:tcMar>
          </w:tcPr>
          <w:p>
            <w:pPr>
              <w:spacing w:after="0" w:line="240" w:lineRule="auto"/>
              <w:jc w:val="left"/>
            </w:pPr>
            <w:r>
              <w:rPr>
                <w:rFonts w:ascii="Aptos" w:hAnsi="Aptos"/>
                <w:b w:val="0"/>
                <w:i w:val="0"/>
                <w:sz w:val="18"/>
              </w:rPr>
              <w:t>Colleague beta</w:t>
            </w:r>
          </w:p>
        </w:tc>
        <w:tc>
          <w:tcPr>
            <w:tcW w:type="dxa" w:w="3456"/>
            <w:vAlign w:val="center"/>
            <w:tcMar>
              <w:top w:w="90" w:type="dxa"/>
              <w:start w:w="100" w:type="dxa"/>
              <w:bottom w:w="90" w:type="dxa"/>
              <w:end w:w="100" w:type="dxa"/>
            </w:tcMar>
          </w:tcPr>
          <w:p>
            <w:pPr>
              <w:spacing w:after="0" w:line="240" w:lineRule="auto"/>
              <w:jc w:val="left"/>
            </w:pPr>
            <w:r>
              <w:rPr>
                <w:rFonts w:ascii="Aptos" w:hAnsi="Aptos"/>
                <w:b w:val="0"/>
                <w:i w:val="0"/>
                <w:sz w:val="18"/>
              </w:rPr>
              <w:t>Jurisdiction-aware packet rules and corrective-action loops proven on live projects</w:t>
            </w:r>
          </w:p>
        </w:tc>
      </w:tr>
      <w:tr>
        <w:tc>
          <w:tcPr>
            <w:tcW w:type="dxa" w:w="1296"/>
            <w:vAlign w:val="center"/>
            <w:tcMar>
              <w:top w:w="90" w:type="dxa"/>
              <w:start w:w="100" w:type="dxa"/>
              <w:bottom w:w="90" w:type="dxa"/>
              <w:end w:w="100" w:type="dxa"/>
            </w:tcMar>
            <w:shd w:fill="F8FBFD"/>
          </w:tcPr>
          <w:p>
            <w:pPr>
              <w:spacing w:after="0" w:line="240" w:lineRule="auto"/>
              <w:jc w:val="center"/>
            </w:pPr>
            <w:r>
              <w:rPr>
                <w:rFonts w:ascii="Aptos" w:hAnsi="Aptos"/>
                <w:b w:val="0"/>
                <w:i w:val="0"/>
                <w:sz w:val="18"/>
              </w:rPr>
              <w:t>Phase 3</w:t>
            </w:r>
          </w:p>
        </w:tc>
        <w:tc>
          <w:tcPr>
            <w:tcW w:type="dxa" w:w="4752"/>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Paid pilot readiness</w:t>
            </w:r>
          </w:p>
        </w:tc>
        <w:tc>
          <w:tcPr>
            <w:tcW w:type="dxa" w:w="3456"/>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Operational controls, audit trail, and customer-facing packaging ready</w:t>
            </w:r>
          </w:p>
        </w:tc>
      </w:tr>
      <w:tr>
        <w:tc>
          <w:tcPr>
            <w:tcW w:type="dxa" w:w="1296"/>
            <w:vAlign w:val="center"/>
            <w:tcMar>
              <w:top w:w="90" w:type="dxa"/>
              <w:start w:w="100" w:type="dxa"/>
              <w:bottom w:w="90" w:type="dxa"/>
              <w:end w:w="100" w:type="dxa"/>
            </w:tcMar>
          </w:tcPr>
          <w:p>
            <w:pPr>
              <w:spacing w:after="0" w:line="240" w:lineRule="auto"/>
              <w:jc w:val="center"/>
            </w:pPr>
            <w:r>
              <w:rPr>
                <w:rFonts w:ascii="Aptos" w:hAnsi="Aptos"/>
                <w:b w:val="0"/>
                <w:i w:val="0"/>
                <w:sz w:val="18"/>
              </w:rPr>
              <w:t>Phase 4</w:t>
            </w:r>
          </w:p>
        </w:tc>
        <w:tc>
          <w:tcPr>
            <w:tcW w:type="dxa" w:w="4752"/>
            <w:vAlign w:val="center"/>
            <w:tcMar>
              <w:top w:w="90" w:type="dxa"/>
              <w:start w:w="100" w:type="dxa"/>
              <w:bottom w:w="90" w:type="dxa"/>
              <w:end w:w="100" w:type="dxa"/>
            </w:tcMar>
          </w:tcPr>
          <w:p>
            <w:pPr>
              <w:spacing w:after="0" w:line="240" w:lineRule="auto"/>
              <w:jc w:val="left"/>
            </w:pPr>
            <w:r>
              <w:rPr>
                <w:rFonts w:ascii="Aptos" w:hAnsi="Aptos"/>
                <w:b w:val="0"/>
                <w:i w:val="0"/>
                <w:sz w:val="18"/>
              </w:rPr>
              <w:t>Commercial hardening</w:t>
            </w:r>
          </w:p>
        </w:tc>
        <w:tc>
          <w:tcPr>
            <w:tcW w:type="dxa" w:w="3456"/>
            <w:vAlign w:val="center"/>
            <w:tcMar>
              <w:top w:w="90" w:type="dxa"/>
              <w:start w:w="100" w:type="dxa"/>
              <w:bottom w:w="90" w:type="dxa"/>
              <w:end w:w="100" w:type="dxa"/>
            </w:tcMar>
          </w:tcPr>
          <w:p>
            <w:pPr>
              <w:spacing w:after="0" w:line="240" w:lineRule="auto"/>
              <w:jc w:val="left"/>
            </w:pPr>
            <w:r>
              <w:rPr>
                <w:rFonts w:ascii="Aptos" w:hAnsi="Aptos"/>
                <w:b w:val="0"/>
                <w:i w:val="0"/>
                <w:sz w:val="18"/>
              </w:rPr>
              <w:t>Coverage expansion, analytics, and billing / tenant maturity ready</w:t>
            </w:r>
          </w:p>
        </w:tc>
      </w:tr>
    </w:tbl>
    <w:p>
      <w:pPr>
        <w:spacing w:after="120" w:before="0" w:line="276" w:lineRule="auto"/>
      </w:pPr>
    </w:p>
    <w:p>
      <w:pPr>
        <w:pStyle w:val="Heading2"/>
        <w:keepNext/>
        <w:spacing w:after="120" w:before="0" w:line="276" w:lineRule="auto"/>
      </w:pPr>
      <w:r>
        <w:rPr>
          <w:rFonts w:ascii="Aptos" w:hAnsi="Aptos"/>
          <w:b w:val="0"/>
          <w:i w:val="0"/>
          <w:sz w:val="22"/>
        </w:rPr>
        <w:t>Phase 0 - foundation (weeks 1-4)</w:t>
      </w:r>
    </w:p>
    <w:p>
      <w:pPr>
        <w:pStyle w:val="ListBullet"/>
        <w:spacing w:after="80" w:line="269" w:lineRule="auto"/>
      </w:pPr>
      <w:r>
        <w:rPr>
          <w:rFonts w:ascii="Aptos" w:hAnsi="Aptos"/>
          <w:b w:val="0"/>
          <w:i w:val="0"/>
          <w:sz w:val="22"/>
        </w:rPr>
        <w:t>Finalize source-of-truth docs, naming conventions, and rule-expression standards.</w:t>
      </w:r>
    </w:p>
    <w:p>
      <w:pPr>
        <w:pStyle w:val="ListBullet"/>
        <w:spacing w:after="80" w:line="269" w:lineRule="auto"/>
      </w:pPr>
      <w:r>
        <w:rPr>
          <w:rFonts w:ascii="Aptos" w:hAnsi="Aptos"/>
          <w:b w:val="0"/>
          <w:i w:val="0"/>
          <w:sz w:val="22"/>
        </w:rPr>
        <w:t>Implement seed loaders for jurisdictions, agencies, source records, form records, and packet rules.</w:t>
      </w:r>
    </w:p>
    <w:p>
      <w:pPr>
        <w:pStyle w:val="ListBullet"/>
        <w:spacing w:after="80" w:line="269" w:lineRule="auto"/>
      </w:pPr>
      <w:r>
        <w:rPr>
          <w:rFonts w:ascii="Aptos" w:hAnsi="Aptos"/>
          <w:b w:val="0"/>
          <w:i w:val="0"/>
          <w:sz w:val="22"/>
        </w:rPr>
        <w:t>Build template studio foundations: sections, item types, conditional visibility, template versioning.</w:t>
      </w:r>
    </w:p>
    <w:p>
      <w:pPr>
        <w:pStyle w:val="ListBullet"/>
        <w:spacing w:after="80" w:line="269" w:lineRule="auto"/>
      </w:pPr>
      <w:r>
        <w:rPr>
          <w:rFonts w:ascii="Aptos" w:hAnsi="Aptos"/>
          <w:b w:val="0"/>
          <w:i w:val="0"/>
          <w:sz w:val="22"/>
        </w:rPr>
        <w:t>Stand up inspection, issue, attachment, signature, and audit tables.</w:t>
      </w:r>
    </w:p>
    <w:p>
      <w:pPr>
        <w:pStyle w:val="ListBullet"/>
        <w:spacing w:after="80" w:line="269" w:lineRule="auto"/>
      </w:pPr>
      <w:r>
        <w:rPr>
          <w:rFonts w:ascii="Aptos" w:hAnsi="Aptos"/>
          <w:b w:val="0"/>
          <w:i w:val="0"/>
          <w:sz w:val="22"/>
        </w:rPr>
        <w:t>Acceptance gate: one county and one city path can be seeded end-to-end from rule tables, without hardcoded county branches.</w:t>
      </w:r>
    </w:p>
    <w:p>
      <w:pPr>
        <w:pStyle w:val="Heading2"/>
        <w:keepNext/>
        <w:spacing w:after="120" w:before="0" w:line="276" w:lineRule="auto"/>
      </w:pPr>
      <w:r>
        <w:rPr>
          <w:rFonts w:ascii="Aptos" w:hAnsi="Aptos"/>
          <w:b w:val="0"/>
          <w:i w:val="0"/>
          <w:sz w:val="22"/>
        </w:rPr>
        <w:t>Phase 1 - internal alpha (weeks 5-8)</w:t>
      </w:r>
    </w:p>
    <w:p>
      <w:pPr>
        <w:pStyle w:val="ListBullet"/>
        <w:spacing w:after="80" w:line="269" w:lineRule="auto"/>
      </w:pPr>
      <w:r>
        <w:rPr>
          <w:rFonts w:ascii="Aptos" w:hAnsi="Aptos"/>
          <w:b w:val="0"/>
          <w:i w:val="0"/>
          <w:sz w:val="22"/>
        </w:rPr>
        <w:t>Mobile field runner with offline draft capture, autosave, photos, signatures, and issue creation.</w:t>
      </w:r>
    </w:p>
    <w:p>
      <w:pPr>
        <w:pStyle w:val="ListBullet"/>
        <w:spacing w:after="80" w:line="269" w:lineRule="auto"/>
      </w:pPr>
      <w:r>
        <w:rPr>
          <w:rFonts w:ascii="Aptos" w:hAnsi="Aptos"/>
          <w:b w:val="0"/>
          <w:i w:val="0"/>
          <w:sz w:val="22"/>
        </w:rPr>
        <w:t>Manager review queue, approve / return loop, and issue dashboard.</w:t>
      </w:r>
    </w:p>
    <w:p>
      <w:pPr>
        <w:pStyle w:val="ListBullet"/>
        <w:spacing w:after="80" w:line="269" w:lineRule="auto"/>
      </w:pPr>
      <w:r>
        <w:rPr>
          <w:rFonts w:ascii="Aptos" w:hAnsi="Aptos"/>
          <w:b w:val="0"/>
          <w:i w:val="0"/>
          <w:sz w:val="22"/>
        </w:rPr>
        <w:t>SWPPP alpha coverage: enrollment checklist, first active inspection, routine weekly, pre-QPE, post-QPE, annual readiness, NOT closeout.</w:t>
      </w:r>
    </w:p>
    <w:p>
      <w:pPr>
        <w:pStyle w:val="ListBullet"/>
        <w:spacing w:after="80" w:line="269" w:lineRule="auto"/>
      </w:pPr>
      <w:r>
        <w:rPr>
          <w:rFonts w:ascii="Aptos" w:hAnsi="Aptos"/>
          <w:b w:val="0"/>
          <w:i w:val="0"/>
          <w:sz w:val="22"/>
        </w:rPr>
        <w:t>Special inspections alpha coverage: county / city packet selection and weekly reporting cadence.</w:t>
      </w:r>
    </w:p>
    <w:p>
      <w:pPr>
        <w:pStyle w:val="ListBullet"/>
        <w:spacing w:after="80" w:line="269" w:lineRule="auto"/>
      </w:pPr>
      <w:r>
        <w:rPr>
          <w:rFonts w:ascii="Aptos" w:hAnsi="Aptos"/>
          <w:b w:val="0"/>
          <w:i w:val="0"/>
          <w:sz w:val="22"/>
        </w:rPr>
        <w:t>Acceptance gate: internal team completes real field runs and exports PDF packets that managers accept without manual reconstruction.</w:t>
      </w:r>
    </w:p>
    <w:p>
      <w:pPr>
        <w:pStyle w:val="Heading2"/>
        <w:keepNext/>
        <w:spacing w:after="120" w:before="0" w:line="276" w:lineRule="auto"/>
      </w:pPr>
      <w:r>
        <w:rPr>
          <w:rFonts w:ascii="Aptos" w:hAnsi="Aptos"/>
          <w:b w:val="0"/>
          <w:i w:val="0"/>
          <w:sz w:val="22"/>
        </w:rPr>
        <w:t>Phase 2 - colleague beta (weeks 9-12)</w:t>
      </w:r>
    </w:p>
    <w:p>
      <w:pPr>
        <w:pStyle w:val="ListBullet"/>
        <w:spacing w:after="80" w:line="269" w:lineRule="auto"/>
      </w:pPr>
      <w:r>
        <w:rPr>
          <w:rFonts w:ascii="Aptos" w:hAnsi="Aptos"/>
          <w:b w:val="0"/>
          <w:i w:val="0"/>
          <w:sz w:val="22"/>
        </w:rPr>
        <w:t>Expand rule coverage across all 9 Bay Area counties using the controlled forms library.</w:t>
      </w:r>
    </w:p>
    <w:p>
      <w:pPr>
        <w:pStyle w:val="ListBullet"/>
        <w:spacing w:after="80" w:line="269" w:lineRule="auto"/>
      </w:pPr>
      <w:r>
        <w:rPr>
          <w:rFonts w:ascii="Aptos" w:hAnsi="Aptos"/>
          <w:b w:val="0"/>
          <w:i w:val="0"/>
          <w:sz w:val="22"/>
        </w:rPr>
        <w:t>Add dust control applicability and plan-approval tracking for San Francisco.</w:t>
      </w:r>
    </w:p>
    <w:p>
      <w:pPr>
        <w:pStyle w:val="ListBullet"/>
        <w:spacing w:after="80" w:line="269" w:lineRule="auto"/>
      </w:pPr>
      <w:r>
        <w:rPr>
          <w:rFonts w:ascii="Aptos" w:hAnsi="Aptos"/>
          <w:b w:val="0"/>
          <w:i w:val="0"/>
          <w:sz w:val="22"/>
        </w:rPr>
        <w:t>Add asbestos readiness and date-revision logic for BAAQMD workflows.</w:t>
      </w:r>
    </w:p>
    <w:p>
      <w:pPr>
        <w:pStyle w:val="ListBullet"/>
        <w:spacing w:after="80" w:line="269" w:lineRule="auto"/>
      </w:pPr>
      <w:r>
        <w:rPr>
          <w:rFonts w:ascii="Aptos" w:hAnsi="Aptos"/>
          <w:b w:val="0"/>
          <w:i w:val="0"/>
          <w:sz w:val="22"/>
        </w:rPr>
        <w:t>Strengthen verification model in admin UI so users can see direct, indirect, inferred, and gap-note statuses.</w:t>
      </w:r>
    </w:p>
    <w:p>
      <w:pPr>
        <w:pStyle w:val="ListBullet"/>
        <w:spacing w:after="80" w:line="269" w:lineRule="auto"/>
      </w:pPr>
      <w:r>
        <w:rPr>
          <w:rFonts w:ascii="Aptos" w:hAnsi="Aptos"/>
          <w:b w:val="0"/>
          <w:i w:val="0"/>
          <w:sz w:val="22"/>
        </w:rPr>
        <w:t>Acceptance gate: at least three live project teams can use the product with minimal training and without losing compliance context.</w:t>
      </w:r>
    </w:p>
    <w:p>
      <w:pPr>
        <w:pStyle w:val="Heading2"/>
        <w:keepNext/>
        <w:spacing w:after="120" w:before="0" w:line="276" w:lineRule="auto"/>
      </w:pPr>
      <w:r>
        <w:rPr>
          <w:rFonts w:ascii="Aptos" w:hAnsi="Aptos"/>
          <w:b w:val="0"/>
          <w:i w:val="0"/>
          <w:sz w:val="22"/>
        </w:rPr>
        <w:t>Phase 3 - paid pilot readiness (weeks 13-18)</w:t>
      </w:r>
    </w:p>
    <w:p>
      <w:pPr>
        <w:pStyle w:val="ListBullet"/>
        <w:spacing w:after="80" w:line="269" w:lineRule="auto"/>
      </w:pPr>
      <w:r>
        <w:rPr>
          <w:rFonts w:ascii="Aptos" w:hAnsi="Aptos"/>
          <w:b w:val="0"/>
          <w:i w:val="0"/>
          <w:sz w:val="22"/>
        </w:rPr>
        <w:t>Introduce tenant controls, role-based permissions, and stricter audit reporting.</w:t>
      </w:r>
    </w:p>
    <w:p>
      <w:pPr>
        <w:pStyle w:val="ListBullet"/>
        <w:spacing w:after="80" w:line="269" w:lineRule="auto"/>
      </w:pPr>
      <w:r>
        <w:rPr>
          <w:rFonts w:ascii="Aptos" w:hAnsi="Aptos"/>
          <w:b w:val="0"/>
          <w:i w:val="0"/>
          <w:sz w:val="22"/>
        </w:rPr>
        <w:t>Add branded packet exports and external share flows.</w:t>
      </w:r>
    </w:p>
    <w:p>
      <w:pPr>
        <w:pStyle w:val="ListBullet"/>
        <w:spacing w:after="80" w:line="269" w:lineRule="auto"/>
      </w:pPr>
      <w:r>
        <w:rPr>
          <w:rFonts w:ascii="Aptos" w:hAnsi="Aptos"/>
          <w:b w:val="0"/>
          <w:i w:val="0"/>
          <w:sz w:val="22"/>
        </w:rPr>
        <w:t>Add metrics dashboards: overdue corrective actions, template use, packet completeness, unresolved rule gaps.</w:t>
      </w:r>
    </w:p>
    <w:p>
      <w:pPr>
        <w:pStyle w:val="ListBullet"/>
        <w:spacing w:after="80" w:line="269" w:lineRule="auto"/>
      </w:pPr>
      <w:r>
        <w:rPr>
          <w:rFonts w:ascii="Aptos" w:hAnsi="Aptos"/>
          <w:b w:val="0"/>
          <w:i w:val="0"/>
          <w:sz w:val="22"/>
        </w:rPr>
        <w:t>Harden support workflows and release notes for rule changes.</w:t>
      </w:r>
    </w:p>
    <w:p>
      <w:pPr>
        <w:pStyle w:val="ListBullet"/>
        <w:spacing w:after="80" w:line="269" w:lineRule="auto"/>
      </w:pPr>
      <w:r>
        <w:rPr>
          <w:rFonts w:ascii="Aptos" w:hAnsi="Aptos"/>
          <w:b w:val="0"/>
          <w:i w:val="0"/>
          <w:sz w:val="22"/>
        </w:rPr>
        <w:t>Acceptance gate: pilot users can onboard, run, export, and defend packet logic without direct builder intervention.</w:t>
      </w:r>
    </w:p>
    <w:p>
      <w:pPr>
        <w:pStyle w:val="Heading2"/>
        <w:keepNext/>
        <w:spacing w:after="120" w:before="0" w:line="276" w:lineRule="auto"/>
      </w:pPr>
      <w:r>
        <w:rPr>
          <w:rFonts w:ascii="Aptos" w:hAnsi="Aptos"/>
          <w:b w:val="0"/>
          <w:i w:val="0"/>
          <w:sz w:val="22"/>
        </w:rPr>
        <w:t>Phase 4 - commercial hardening (post-pilot)</w:t>
      </w:r>
    </w:p>
    <w:p>
      <w:pPr>
        <w:pStyle w:val="ListBullet"/>
        <w:spacing w:after="80" w:line="269" w:lineRule="auto"/>
      </w:pPr>
      <w:r>
        <w:rPr>
          <w:rFonts w:ascii="Aptos" w:hAnsi="Aptos"/>
          <w:b w:val="0"/>
          <w:i w:val="0"/>
          <w:sz w:val="22"/>
        </w:rPr>
        <w:t>Expand Northern California coverage and long-tail rule inheritance.</w:t>
      </w:r>
    </w:p>
    <w:p>
      <w:pPr>
        <w:pStyle w:val="ListBullet"/>
        <w:spacing w:after="80" w:line="269" w:lineRule="auto"/>
      </w:pPr>
      <w:r>
        <w:rPr>
          <w:rFonts w:ascii="Aptos" w:hAnsi="Aptos"/>
          <w:b w:val="0"/>
          <w:i w:val="0"/>
          <w:sz w:val="22"/>
        </w:rPr>
        <w:t>Add recurring scheduling, subcontractor corrective-action collaboration, and analytics.</w:t>
      </w:r>
    </w:p>
    <w:p>
      <w:pPr>
        <w:pStyle w:val="ListBullet"/>
        <w:spacing w:after="80" w:line="269" w:lineRule="auto"/>
      </w:pPr>
      <w:r>
        <w:rPr>
          <w:rFonts w:ascii="Aptos" w:hAnsi="Aptos"/>
          <w:b w:val="0"/>
          <w:i w:val="0"/>
          <w:sz w:val="22"/>
        </w:rPr>
        <w:t>Add MRP-ready post-construction BMP inspection pack and wider compliance families.</w:t>
      </w:r>
    </w:p>
    <w:p>
      <w:pPr>
        <w:pStyle w:val="ListBullet"/>
        <w:spacing w:after="80" w:line="269" w:lineRule="auto"/>
      </w:pPr>
      <w:r>
        <w:rPr>
          <w:rFonts w:ascii="Aptos" w:hAnsi="Aptos"/>
          <w:b w:val="0"/>
          <w:i w:val="0"/>
          <w:sz w:val="22"/>
        </w:rPr>
        <w:t>Add controlled billing, usage policy, and support commitments.</w:t>
      </w:r>
    </w:p>
    <w:p>
      <w:pPr>
        <w:pStyle w:val="Heading1"/>
        <w:keepNext/>
        <w:spacing w:after="120" w:before="0" w:line="276" w:lineRule="auto"/>
      </w:pPr>
      <w:r>
        <w:rPr>
          <w:rFonts w:ascii="Aptos" w:hAnsi="Aptos"/>
          <w:b w:val="0"/>
          <w:i w:val="0"/>
          <w:sz w:val="22"/>
        </w:rPr>
        <w:t>Feature gating</w:t>
      </w:r>
    </w:p>
    <w:p>
      <w:pPr>
        <w:pStyle w:val="Heading2"/>
        <w:keepNext/>
        <w:spacing w:after="120" w:before="0" w:line="276" w:lineRule="auto"/>
      </w:pPr>
      <w:r>
        <w:rPr>
          <w:rFonts w:ascii="Aptos" w:hAnsi="Aptos"/>
          <w:b w:val="0"/>
          <w:i w:val="0"/>
          <w:sz w:val="22"/>
        </w:rPr>
        <w:t>What ships when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456"/>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8"/>
              </w:rPr>
              <w:t>Capability</w:t>
            </w:r>
          </w:p>
        </w:tc>
        <w:tc>
          <w:tcPr>
            <w:tcW w:type="dxa" w:w="1440"/>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8"/>
              </w:rPr>
              <w:t>Phase 1</w:t>
            </w:r>
          </w:p>
        </w:tc>
        <w:tc>
          <w:tcPr>
            <w:tcW w:type="dxa" w:w="1944"/>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8"/>
              </w:rPr>
              <w:t>Phase 2</w:t>
            </w:r>
          </w:p>
        </w:tc>
        <w:tc>
          <w:tcPr>
            <w:tcW w:type="dxa" w:w="2304"/>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8"/>
              </w:rPr>
              <w:t>Phase 3+</w:t>
            </w:r>
          </w:p>
        </w:tc>
      </w:tr>
      <w:tr>
        <w:tc>
          <w:tcPr>
            <w:tcW w:type="dxa" w:w="3456"/>
            <w:vAlign w:val="center"/>
            <w:tcMar>
              <w:top w:w="90" w:type="dxa"/>
              <w:start w:w="100" w:type="dxa"/>
              <w:bottom w:w="90" w:type="dxa"/>
              <w:end w:w="100" w:type="dxa"/>
            </w:tcMar>
          </w:tcPr>
          <w:p>
            <w:pPr>
              <w:spacing w:after="0" w:line="240" w:lineRule="auto"/>
              <w:jc w:val="center"/>
            </w:pPr>
            <w:r>
              <w:rPr>
                <w:rFonts w:ascii="Aptos" w:hAnsi="Aptos"/>
                <w:b w:val="0"/>
                <w:i w:val="0"/>
                <w:sz w:val="18"/>
              </w:rPr>
              <w:t>Offline inspection runner</w:t>
            </w:r>
          </w:p>
        </w:tc>
        <w:tc>
          <w:tcPr>
            <w:tcW w:type="dxa" w:w="1440"/>
            <w:vAlign w:val="center"/>
            <w:tcMar>
              <w:top w:w="90" w:type="dxa"/>
              <w:start w:w="100" w:type="dxa"/>
              <w:bottom w:w="90" w:type="dxa"/>
              <w:end w:w="100" w:type="dxa"/>
            </w:tcMar>
          </w:tcPr>
          <w:p>
            <w:pPr>
              <w:spacing w:after="0" w:line="240" w:lineRule="auto"/>
              <w:jc w:val="left"/>
            </w:pPr>
            <w:r>
              <w:rPr>
                <w:rFonts w:ascii="Aptos" w:hAnsi="Aptos"/>
                <w:b w:val="0"/>
                <w:i w:val="0"/>
                <w:sz w:val="18"/>
              </w:rPr>
              <w:t>Yes</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i w:val="0"/>
                <w:sz w:val="18"/>
              </w:rPr>
              <w:t>Hardened</w:t>
            </w:r>
          </w:p>
        </w:tc>
        <w:tc>
          <w:tcPr>
            <w:tcW w:type="dxa" w:w="2304"/>
            <w:vAlign w:val="center"/>
            <w:tcMar>
              <w:top w:w="90" w:type="dxa"/>
              <w:start w:w="100" w:type="dxa"/>
              <w:bottom w:w="90" w:type="dxa"/>
              <w:end w:w="100" w:type="dxa"/>
            </w:tcMar>
          </w:tcPr>
          <w:p>
            <w:pPr>
              <w:spacing w:after="0" w:line="240" w:lineRule="auto"/>
              <w:jc w:val="left"/>
            </w:pPr>
            <w:r>
              <w:rPr>
                <w:rFonts w:ascii="Aptos" w:hAnsi="Aptos"/>
                <w:b w:val="0"/>
                <w:i w:val="0"/>
                <w:sz w:val="18"/>
              </w:rPr>
              <w:t>Scaled</w:t>
            </w:r>
          </w:p>
        </w:tc>
      </w:tr>
      <w:tr>
        <w:tc>
          <w:tcPr>
            <w:tcW w:type="dxa" w:w="3456"/>
            <w:vAlign w:val="center"/>
            <w:tcMar>
              <w:top w:w="90" w:type="dxa"/>
              <w:start w:w="100" w:type="dxa"/>
              <w:bottom w:w="90" w:type="dxa"/>
              <w:end w:w="100" w:type="dxa"/>
            </w:tcMar>
            <w:shd w:fill="F8FBFD"/>
          </w:tcPr>
          <w:p>
            <w:pPr>
              <w:spacing w:after="0" w:line="240" w:lineRule="auto"/>
              <w:jc w:val="center"/>
            </w:pPr>
            <w:r>
              <w:rPr>
                <w:rFonts w:ascii="Aptos" w:hAnsi="Aptos"/>
                <w:b w:val="0"/>
                <w:i w:val="0"/>
                <w:sz w:val="18"/>
              </w:rPr>
              <w:t>Template studio + versioning</w:t>
            </w:r>
          </w:p>
        </w:tc>
        <w:tc>
          <w:tcPr>
            <w:tcW w:type="dxa" w:w="1440"/>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Yes</w:t>
            </w:r>
          </w:p>
        </w:tc>
        <w:tc>
          <w:tcPr>
            <w:tcW w:type="dxa" w:w="1944"/>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Hardened</w:t>
            </w:r>
          </w:p>
        </w:tc>
        <w:tc>
          <w:tcPr>
            <w:tcW w:type="dxa" w:w="2304"/>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Admin maturity</w:t>
            </w:r>
          </w:p>
        </w:tc>
      </w:tr>
      <w:tr>
        <w:tc>
          <w:tcPr>
            <w:tcW w:type="dxa" w:w="3456"/>
            <w:vAlign w:val="center"/>
            <w:tcMar>
              <w:top w:w="90" w:type="dxa"/>
              <w:start w:w="100" w:type="dxa"/>
              <w:bottom w:w="90" w:type="dxa"/>
              <w:end w:w="100" w:type="dxa"/>
            </w:tcMar>
          </w:tcPr>
          <w:p>
            <w:pPr>
              <w:spacing w:after="0" w:line="240" w:lineRule="auto"/>
              <w:jc w:val="center"/>
            </w:pPr>
            <w:r>
              <w:rPr>
                <w:rFonts w:ascii="Aptos" w:hAnsi="Aptos"/>
                <w:b w:val="0"/>
                <w:i w:val="0"/>
                <w:sz w:val="18"/>
              </w:rPr>
              <w:t>SWPPP lifecycle gates</w:t>
            </w:r>
          </w:p>
        </w:tc>
        <w:tc>
          <w:tcPr>
            <w:tcW w:type="dxa" w:w="1440"/>
            <w:vAlign w:val="center"/>
            <w:tcMar>
              <w:top w:w="90" w:type="dxa"/>
              <w:start w:w="100" w:type="dxa"/>
              <w:bottom w:w="90" w:type="dxa"/>
              <w:end w:w="100" w:type="dxa"/>
            </w:tcMar>
          </w:tcPr>
          <w:p>
            <w:pPr>
              <w:spacing w:after="0" w:line="240" w:lineRule="auto"/>
              <w:jc w:val="left"/>
            </w:pPr>
            <w:r>
              <w:rPr>
                <w:rFonts w:ascii="Aptos" w:hAnsi="Aptos"/>
                <w:b w:val="0"/>
                <w:i w:val="0"/>
                <w:sz w:val="18"/>
              </w:rPr>
              <w:t>Core set</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i w:val="0"/>
                <w:sz w:val="18"/>
              </w:rPr>
              <w:t>Expanded</w:t>
            </w:r>
          </w:p>
        </w:tc>
        <w:tc>
          <w:tcPr>
            <w:tcW w:type="dxa" w:w="2304"/>
            <w:vAlign w:val="center"/>
            <w:tcMar>
              <w:top w:w="90" w:type="dxa"/>
              <w:start w:w="100" w:type="dxa"/>
              <w:bottom w:w="90" w:type="dxa"/>
              <w:end w:w="100" w:type="dxa"/>
            </w:tcMar>
          </w:tcPr>
          <w:p>
            <w:pPr>
              <w:spacing w:after="0" w:line="240" w:lineRule="auto"/>
              <w:jc w:val="left"/>
            </w:pPr>
            <w:r>
              <w:rPr>
                <w:rFonts w:ascii="Aptos" w:hAnsi="Aptos"/>
                <w:b w:val="0"/>
                <w:i w:val="0"/>
                <w:sz w:val="18"/>
              </w:rPr>
              <w:t>Reporting maturity</w:t>
            </w:r>
          </w:p>
        </w:tc>
      </w:tr>
      <w:tr>
        <w:tc>
          <w:tcPr>
            <w:tcW w:type="dxa" w:w="3456"/>
            <w:vAlign w:val="center"/>
            <w:tcMar>
              <w:top w:w="90" w:type="dxa"/>
              <w:start w:w="100" w:type="dxa"/>
              <w:bottom w:w="90" w:type="dxa"/>
              <w:end w:w="100" w:type="dxa"/>
            </w:tcMar>
            <w:shd w:fill="F8FBFD"/>
          </w:tcPr>
          <w:p>
            <w:pPr>
              <w:spacing w:after="0" w:line="240" w:lineRule="auto"/>
              <w:jc w:val="center"/>
            </w:pPr>
            <w:r>
              <w:rPr>
                <w:rFonts w:ascii="Aptos" w:hAnsi="Aptos"/>
                <w:b w:val="0"/>
                <w:i w:val="0"/>
                <w:sz w:val="18"/>
              </w:rPr>
              <w:t>Special inspection packet builder</w:t>
            </w:r>
          </w:p>
        </w:tc>
        <w:tc>
          <w:tcPr>
            <w:tcW w:type="dxa" w:w="1440"/>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Core county/city set</w:t>
            </w:r>
          </w:p>
        </w:tc>
        <w:tc>
          <w:tcPr>
            <w:tcW w:type="dxa" w:w="1944"/>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9-county refinement</w:t>
            </w:r>
          </w:p>
        </w:tc>
        <w:tc>
          <w:tcPr>
            <w:tcW w:type="dxa" w:w="2304"/>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Commercial hardening</w:t>
            </w:r>
          </w:p>
        </w:tc>
      </w:tr>
      <w:tr>
        <w:tc>
          <w:tcPr>
            <w:tcW w:type="dxa" w:w="3456"/>
            <w:vAlign w:val="center"/>
            <w:tcMar>
              <w:top w:w="90" w:type="dxa"/>
              <w:start w:w="100" w:type="dxa"/>
              <w:bottom w:w="90" w:type="dxa"/>
              <w:end w:w="100" w:type="dxa"/>
            </w:tcMar>
          </w:tcPr>
          <w:p>
            <w:pPr>
              <w:spacing w:after="0" w:line="240" w:lineRule="auto"/>
              <w:jc w:val="center"/>
            </w:pPr>
            <w:r>
              <w:rPr>
                <w:rFonts w:ascii="Aptos" w:hAnsi="Aptos"/>
                <w:b w:val="0"/>
                <w:i w:val="0"/>
                <w:sz w:val="18"/>
              </w:rPr>
              <w:t>Dust control and asbestos packs</w:t>
            </w:r>
          </w:p>
        </w:tc>
        <w:tc>
          <w:tcPr>
            <w:tcW w:type="dxa" w:w="1440"/>
            <w:vAlign w:val="center"/>
            <w:tcMar>
              <w:top w:w="90" w:type="dxa"/>
              <w:start w:w="100" w:type="dxa"/>
              <w:bottom w:w="90" w:type="dxa"/>
              <w:end w:w="100" w:type="dxa"/>
            </w:tcMar>
          </w:tcPr>
          <w:p>
            <w:pPr>
              <w:spacing w:after="0" w:line="240" w:lineRule="auto"/>
              <w:jc w:val="left"/>
            </w:pPr>
            <w:r>
              <w:rPr>
                <w:rFonts w:ascii="Aptos" w:hAnsi="Aptos"/>
                <w:b w:val="0"/>
                <w:i w:val="0"/>
                <w:sz w:val="18"/>
              </w:rPr>
              <w:t>Partial</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i w:val="0"/>
                <w:sz w:val="18"/>
              </w:rPr>
              <w:t>Full Bay Area baseline</w:t>
            </w:r>
          </w:p>
        </w:tc>
        <w:tc>
          <w:tcPr>
            <w:tcW w:type="dxa" w:w="2304"/>
            <w:vAlign w:val="center"/>
            <w:tcMar>
              <w:top w:w="90" w:type="dxa"/>
              <w:start w:w="100" w:type="dxa"/>
              <w:bottom w:w="90" w:type="dxa"/>
              <w:end w:w="100" w:type="dxa"/>
            </w:tcMar>
          </w:tcPr>
          <w:p>
            <w:pPr>
              <w:spacing w:after="0" w:line="240" w:lineRule="auto"/>
              <w:jc w:val="left"/>
            </w:pPr>
            <w:r>
              <w:rPr>
                <w:rFonts w:ascii="Aptos" w:hAnsi="Aptos"/>
                <w:b w:val="0"/>
                <w:i w:val="0"/>
                <w:sz w:val="18"/>
              </w:rPr>
              <w:t>Extended</w:t>
            </w:r>
          </w:p>
        </w:tc>
      </w:tr>
      <w:tr>
        <w:tc>
          <w:tcPr>
            <w:tcW w:type="dxa" w:w="3456"/>
            <w:vAlign w:val="center"/>
            <w:tcMar>
              <w:top w:w="90" w:type="dxa"/>
              <w:start w:w="100" w:type="dxa"/>
              <w:bottom w:w="90" w:type="dxa"/>
              <w:end w:w="100" w:type="dxa"/>
            </w:tcMar>
            <w:shd w:fill="F8FBFD"/>
          </w:tcPr>
          <w:p>
            <w:pPr>
              <w:spacing w:after="0" w:line="240" w:lineRule="auto"/>
              <w:jc w:val="center"/>
            </w:pPr>
            <w:r>
              <w:rPr>
                <w:rFonts w:ascii="Aptos" w:hAnsi="Aptos"/>
                <w:b w:val="0"/>
                <w:i w:val="0"/>
                <w:sz w:val="18"/>
              </w:rPr>
              <w:t>Tenant / share controls</w:t>
            </w:r>
          </w:p>
        </w:tc>
        <w:tc>
          <w:tcPr>
            <w:tcW w:type="dxa" w:w="1440"/>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Limited</w:t>
            </w:r>
          </w:p>
        </w:tc>
        <w:tc>
          <w:tcPr>
            <w:tcW w:type="dxa" w:w="1944"/>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Moderate</w:t>
            </w:r>
          </w:p>
        </w:tc>
        <w:tc>
          <w:tcPr>
            <w:tcW w:type="dxa" w:w="2304"/>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Full</w:t>
            </w:r>
          </w:p>
        </w:tc>
      </w:tr>
      <w:tr>
        <w:tc>
          <w:tcPr>
            <w:tcW w:type="dxa" w:w="3456"/>
            <w:vAlign w:val="center"/>
            <w:tcMar>
              <w:top w:w="90" w:type="dxa"/>
              <w:start w:w="100" w:type="dxa"/>
              <w:bottom w:w="90" w:type="dxa"/>
              <w:end w:w="100" w:type="dxa"/>
            </w:tcMar>
          </w:tcPr>
          <w:p>
            <w:pPr>
              <w:spacing w:after="0" w:line="240" w:lineRule="auto"/>
              <w:jc w:val="center"/>
            </w:pPr>
            <w:r>
              <w:rPr>
                <w:rFonts w:ascii="Aptos" w:hAnsi="Aptos"/>
                <w:b w:val="0"/>
                <w:i w:val="0"/>
                <w:sz w:val="18"/>
              </w:rPr>
              <w:t>Analytics and dashboards</w:t>
            </w:r>
          </w:p>
        </w:tc>
        <w:tc>
          <w:tcPr>
            <w:tcW w:type="dxa" w:w="1440"/>
            <w:vAlign w:val="center"/>
            <w:tcMar>
              <w:top w:w="90" w:type="dxa"/>
              <w:start w:w="100" w:type="dxa"/>
              <w:bottom w:w="90" w:type="dxa"/>
              <w:end w:w="100" w:type="dxa"/>
            </w:tcMar>
          </w:tcPr>
          <w:p>
            <w:pPr>
              <w:spacing w:after="0" w:line="240" w:lineRule="auto"/>
              <w:jc w:val="left"/>
            </w:pPr>
            <w:r>
              <w:rPr>
                <w:rFonts w:ascii="Aptos" w:hAnsi="Aptos"/>
                <w:b w:val="0"/>
                <w:i w:val="0"/>
                <w:sz w:val="18"/>
              </w:rPr>
              <w:t>Minimal</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i w:val="0"/>
                <w:sz w:val="18"/>
              </w:rPr>
              <w:t>Useful</w:t>
            </w:r>
          </w:p>
        </w:tc>
        <w:tc>
          <w:tcPr>
            <w:tcW w:type="dxa" w:w="2304"/>
            <w:vAlign w:val="center"/>
            <w:tcMar>
              <w:top w:w="90" w:type="dxa"/>
              <w:start w:w="100" w:type="dxa"/>
              <w:bottom w:w="90" w:type="dxa"/>
              <w:end w:w="100" w:type="dxa"/>
            </w:tcMar>
          </w:tcPr>
          <w:p>
            <w:pPr>
              <w:spacing w:after="0" w:line="240" w:lineRule="auto"/>
              <w:jc w:val="left"/>
            </w:pPr>
            <w:r>
              <w:rPr>
                <w:rFonts w:ascii="Aptos" w:hAnsi="Aptos"/>
                <w:b w:val="0"/>
                <w:i w:val="0"/>
                <w:sz w:val="18"/>
              </w:rPr>
              <w:t>Strategic</w:t>
            </w:r>
          </w:p>
        </w:tc>
      </w:tr>
    </w:tbl>
    <w:p>
      <w:pPr>
        <w:spacing w:after="120" w:before="0" w:line="276" w:lineRule="auto"/>
      </w:pPr>
    </w:p>
    <w:p>
      <w:pPr>
        <w:pStyle w:val="Heading1"/>
        <w:keepNext/>
        <w:spacing w:after="120" w:before="0" w:line="276" w:lineRule="auto"/>
      </w:pPr>
      <w:r>
        <w:rPr>
          <w:rFonts w:ascii="Aptos" w:hAnsi="Aptos"/>
          <w:b w:val="0"/>
          <w:i w:val="0"/>
          <w:sz w:val="22"/>
        </w:rPr>
        <w:t>Risk register</w:t>
      </w:r>
    </w:p>
    <w:p>
      <w:pPr>
        <w:pStyle w:val="Heading2"/>
        <w:keepNext/>
        <w:spacing w:after="120" w:before="0" w:line="276" w:lineRule="auto"/>
      </w:pPr>
      <w:r>
        <w:rPr>
          <w:rFonts w:ascii="Aptos" w:hAnsi="Aptos"/>
          <w:b w:val="0"/>
          <w:i w:val="0"/>
          <w:sz w:val="22"/>
        </w:rPr>
        <w:t>Primary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Risk</w:t>
            </w:r>
          </w:p>
        </w:tc>
        <w:tc>
          <w:tcPr>
            <w:tcW w:type="dxa" w:w="3600"/>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Why it matters</w:t>
            </w:r>
          </w:p>
        </w:tc>
        <w:tc>
          <w:tcPr>
            <w:tcW w:type="dxa" w:w="3312"/>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Mitigation</w:t>
            </w:r>
          </w:p>
        </w:tc>
      </w:tr>
      <w:tr>
        <w:tc>
          <w:tcPr>
            <w:tcW w:type="dxa" w:w="2016"/>
            <w:vAlign w:val="center"/>
            <w:tcMar>
              <w:top w:w="90" w:type="dxa"/>
              <w:start w:w="100" w:type="dxa"/>
              <w:bottom w:w="90" w:type="dxa"/>
              <w:end w:w="100" w:type="dxa"/>
            </w:tcMar>
          </w:tcPr>
          <w:p>
            <w:pPr>
              <w:spacing w:after="0" w:line="240" w:lineRule="auto"/>
              <w:jc w:val="center"/>
            </w:pPr>
            <w:r>
              <w:rPr>
                <w:rFonts w:ascii="Aptos" w:hAnsi="Aptos"/>
                <w:b w:val="0"/>
                <w:i w:val="0"/>
                <w:sz w:val="17"/>
              </w:rPr>
              <w:t>County parity drift</w:t>
            </w:r>
          </w:p>
        </w:tc>
        <w:tc>
          <w:tcPr>
            <w:tcW w:type="dxa" w:w="3600"/>
            <w:vAlign w:val="center"/>
            <w:tcMar>
              <w:top w:w="90" w:type="dxa"/>
              <w:start w:w="100" w:type="dxa"/>
              <w:bottom w:w="90" w:type="dxa"/>
              <w:end w:w="100" w:type="dxa"/>
            </w:tcMar>
          </w:tcPr>
          <w:p>
            <w:pPr>
              <w:spacing w:after="0" w:line="240" w:lineRule="auto"/>
              <w:jc w:val="left"/>
            </w:pPr>
            <w:r>
              <w:rPr>
                <w:rFonts w:ascii="Aptos" w:hAnsi="Aptos"/>
                <w:b w:val="0"/>
                <w:i w:val="0"/>
                <w:sz w:val="17"/>
              </w:rPr>
              <w:t>Not every jurisdiction exposes the same packet artifacts</w:t>
            </w:r>
          </w:p>
        </w:tc>
        <w:tc>
          <w:tcPr>
            <w:tcW w:type="dxa" w:w="3312"/>
            <w:vAlign w:val="center"/>
            <w:tcMar>
              <w:top w:w="90" w:type="dxa"/>
              <w:start w:w="100" w:type="dxa"/>
              <w:bottom w:w="90" w:type="dxa"/>
              <w:end w:w="100" w:type="dxa"/>
            </w:tcMar>
          </w:tcPr>
          <w:p>
            <w:pPr>
              <w:spacing w:after="0" w:line="240" w:lineRule="auto"/>
              <w:jc w:val="left"/>
            </w:pPr>
            <w:r>
              <w:rPr>
                <w:rFonts w:ascii="Aptos" w:hAnsi="Aptos"/>
                <w:b w:val="0"/>
                <w:i w:val="0"/>
                <w:sz w:val="17"/>
              </w:rPr>
              <w:t>Use verification_status and packet_role to model uneven coverage explicitly</w:t>
            </w:r>
          </w:p>
        </w:tc>
      </w:tr>
      <w:tr>
        <w:tc>
          <w:tcPr>
            <w:tcW w:type="dxa" w:w="2016"/>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Portal-native lifecycle gaps</w:t>
            </w:r>
          </w:p>
        </w:tc>
        <w:tc>
          <w:tcPr>
            <w:tcW w:type="dxa" w:w="3600"/>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Some obligations are filings, not downloadable forms</w:t>
            </w:r>
          </w:p>
        </w:tc>
        <w:tc>
          <w:tcPr>
            <w:tcW w:type="dxa" w:w="331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Model actions, evidence, and state blockers instead of relying on form mirrors</w:t>
            </w:r>
          </w:p>
        </w:tc>
      </w:tr>
      <w:tr>
        <w:tc>
          <w:tcPr>
            <w:tcW w:type="dxa" w:w="2016"/>
            <w:vAlign w:val="center"/>
            <w:tcMar>
              <w:top w:w="90" w:type="dxa"/>
              <w:start w:w="100" w:type="dxa"/>
              <w:bottom w:w="90" w:type="dxa"/>
              <w:end w:w="100" w:type="dxa"/>
            </w:tcMar>
          </w:tcPr>
          <w:p>
            <w:pPr>
              <w:spacing w:after="0" w:line="240" w:lineRule="auto"/>
              <w:jc w:val="center"/>
            </w:pPr>
            <w:r>
              <w:rPr>
                <w:rFonts w:ascii="Aptos" w:hAnsi="Aptos"/>
                <w:b w:val="0"/>
                <w:i w:val="0"/>
                <w:sz w:val="17"/>
              </w:rPr>
              <w:t>Offline complexity</w:t>
            </w:r>
          </w:p>
        </w:tc>
        <w:tc>
          <w:tcPr>
            <w:tcW w:type="dxa" w:w="3600"/>
            <w:vAlign w:val="center"/>
            <w:tcMar>
              <w:top w:w="90" w:type="dxa"/>
              <w:start w:w="100" w:type="dxa"/>
              <w:bottom w:w="90" w:type="dxa"/>
              <w:end w:w="100" w:type="dxa"/>
            </w:tcMar>
          </w:tcPr>
          <w:p>
            <w:pPr>
              <w:spacing w:after="0" w:line="240" w:lineRule="auto"/>
              <w:jc w:val="left"/>
            </w:pPr>
            <w:r>
              <w:rPr>
                <w:rFonts w:ascii="Aptos" w:hAnsi="Aptos"/>
                <w:b w:val="0"/>
                <w:i w:val="0"/>
                <w:sz w:val="17"/>
              </w:rPr>
              <w:t>Field usage fails without reliable sync recovery</w:t>
            </w:r>
          </w:p>
        </w:tc>
        <w:tc>
          <w:tcPr>
            <w:tcW w:type="dxa" w:w="3312"/>
            <w:vAlign w:val="center"/>
            <w:tcMar>
              <w:top w:w="90" w:type="dxa"/>
              <w:start w:w="100" w:type="dxa"/>
              <w:bottom w:w="90" w:type="dxa"/>
              <w:end w:w="100" w:type="dxa"/>
            </w:tcMar>
          </w:tcPr>
          <w:p>
            <w:pPr>
              <w:spacing w:after="0" w:line="240" w:lineRule="auto"/>
              <w:jc w:val="left"/>
            </w:pPr>
            <w:r>
              <w:rPr>
                <w:rFonts w:ascii="Aptos" w:hAnsi="Aptos"/>
                <w:b w:val="0"/>
                <w:i w:val="0"/>
                <w:sz w:val="17"/>
              </w:rPr>
              <w:t>Outbox model, immutable audit events, retryable uploads, and local drafts</w:t>
            </w:r>
          </w:p>
        </w:tc>
      </w:tr>
      <w:tr>
        <w:tc>
          <w:tcPr>
            <w:tcW w:type="dxa" w:w="2016"/>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Template drift</w:t>
            </w:r>
          </w:p>
        </w:tc>
        <w:tc>
          <w:tcPr>
            <w:tcW w:type="dxa" w:w="3600"/>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Unversioned edits undermine defensibility</w:t>
            </w:r>
          </w:p>
        </w:tc>
        <w:tc>
          <w:tcPr>
            <w:tcW w:type="dxa" w:w="331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Strict template versioning and per-run version capture</w:t>
            </w:r>
          </w:p>
        </w:tc>
      </w:tr>
      <w:tr>
        <w:tc>
          <w:tcPr>
            <w:tcW w:type="dxa" w:w="2016"/>
            <w:vAlign w:val="center"/>
            <w:tcMar>
              <w:top w:w="90" w:type="dxa"/>
              <w:start w:w="100" w:type="dxa"/>
              <w:bottom w:w="90" w:type="dxa"/>
              <w:end w:w="100" w:type="dxa"/>
            </w:tcMar>
          </w:tcPr>
          <w:p>
            <w:pPr>
              <w:spacing w:after="0" w:line="240" w:lineRule="auto"/>
              <w:jc w:val="center"/>
            </w:pPr>
            <w:r>
              <w:rPr>
                <w:rFonts w:ascii="Aptos" w:hAnsi="Aptos"/>
                <w:b w:val="0"/>
                <w:i w:val="0"/>
                <w:sz w:val="17"/>
              </w:rPr>
              <w:t>Source revision drift</w:t>
            </w:r>
          </w:p>
        </w:tc>
        <w:tc>
          <w:tcPr>
            <w:tcW w:type="dxa" w:w="3600"/>
            <w:vAlign w:val="center"/>
            <w:tcMar>
              <w:top w:w="90" w:type="dxa"/>
              <w:start w:w="100" w:type="dxa"/>
              <w:bottom w:w="90" w:type="dxa"/>
              <w:end w:w="100" w:type="dxa"/>
            </w:tcMar>
          </w:tcPr>
          <w:p>
            <w:pPr>
              <w:spacing w:after="0" w:line="240" w:lineRule="auto"/>
              <w:jc w:val="left"/>
            </w:pPr>
            <w:r>
              <w:rPr>
                <w:rFonts w:ascii="Aptos" w:hAnsi="Aptos"/>
                <w:b w:val="0"/>
                <w:i w:val="0"/>
                <w:sz w:val="17"/>
              </w:rPr>
              <w:t>Agency forms and lists change quietly</w:t>
            </w:r>
          </w:p>
        </w:tc>
        <w:tc>
          <w:tcPr>
            <w:tcW w:type="dxa" w:w="3312"/>
            <w:vAlign w:val="center"/>
            <w:tcMar>
              <w:top w:w="90" w:type="dxa"/>
              <w:start w:w="100" w:type="dxa"/>
              <w:bottom w:w="90" w:type="dxa"/>
              <w:end w:w="100" w:type="dxa"/>
            </w:tcMar>
          </w:tcPr>
          <w:p>
            <w:pPr>
              <w:spacing w:after="0" w:line="240" w:lineRule="auto"/>
              <w:jc w:val="left"/>
            </w:pPr>
            <w:r>
              <w:rPr>
                <w:rFonts w:ascii="Aptos" w:hAnsi="Aptos"/>
                <w:b w:val="0"/>
                <w:i w:val="0"/>
                <w:sz w:val="17"/>
              </w:rPr>
              <w:t>Fingerprint monitoring plus scheduled recrawls and QA queue</w:t>
            </w:r>
          </w:p>
        </w:tc>
      </w:tr>
    </w:tbl>
    <w:p>
      <w:pPr>
        <w:spacing w:after="120" w:before="0" w:line="276" w:lineRule="auto"/>
      </w:pPr>
    </w:p>
    <w:p>
      <w:pPr>
        <w:pStyle w:val="Heading1"/>
        <w:keepNext/>
        <w:spacing w:after="120" w:before="0" w:line="276" w:lineRule="auto"/>
      </w:pPr>
      <w:r>
        <w:rPr>
          <w:rFonts w:ascii="Aptos" w:hAnsi="Aptos"/>
          <w:b w:val="0"/>
          <w:i w:val="0"/>
          <w:sz w:val="22"/>
        </w:rPr>
        <w:t>Execution model</w:t>
      </w:r>
    </w:p>
    <w:p>
      <w:pPr>
        <w:pStyle w:val="Heading2"/>
        <w:keepNext/>
        <w:spacing w:after="120" w:before="0" w:line="276" w:lineRule="auto"/>
      </w:pPr>
      <w:r>
        <w:rPr>
          <w:rFonts w:ascii="Aptos" w:hAnsi="Aptos"/>
          <w:b w:val="0"/>
          <w:i w:val="0"/>
          <w:sz w:val="22"/>
        </w:rPr>
        <w:t>12-week sprint framing</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Sprint block</w:t>
            </w:r>
          </w:p>
        </w:tc>
        <w:tc>
          <w:tcPr>
            <w:tcW w:type="dxa" w:w="4608"/>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Primary outcome</w:t>
            </w:r>
          </w:p>
        </w:tc>
        <w:tc>
          <w:tcPr>
            <w:tcW w:type="dxa" w:w="3312"/>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Decision checkpoint</w:t>
            </w:r>
          </w:p>
        </w:tc>
      </w:tr>
      <w:tr>
        <w:tc>
          <w:tcPr>
            <w:tcW w:type="dxa" w:w="1728"/>
            <w:vAlign w:val="center"/>
            <w:tcMar>
              <w:top w:w="90" w:type="dxa"/>
              <w:start w:w="100" w:type="dxa"/>
              <w:bottom w:w="90" w:type="dxa"/>
              <w:end w:w="100" w:type="dxa"/>
            </w:tcMar>
          </w:tcPr>
          <w:p>
            <w:pPr>
              <w:spacing w:after="0" w:line="240" w:lineRule="auto"/>
              <w:jc w:val="center"/>
            </w:pPr>
            <w:r>
              <w:rPr>
                <w:rFonts w:ascii="Aptos" w:hAnsi="Aptos"/>
                <w:b w:val="0"/>
                <w:i w:val="0"/>
                <w:sz w:val="17"/>
              </w:rPr>
              <w:t>Weeks 1-2</w:t>
            </w:r>
          </w:p>
        </w:tc>
        <w:tc>
          <w:tcPr>
            <w:tcW w:type="dxa" w:w="4608"/>
            <w:vAlign w:val="center"/>
            <w:tcMar>
              <w:top w:w="90" w:type="dxa"/>
              <w:start w:w="100" w:type="dxa"/>
              <w:bottom w:w="90" w:type="dxa"/>
              <w:end w:w="100" w:type="dxa"/>
            </w:tcMar>
          </w:tcPr>
          <w:p>
            <w:pPr>
              <w:spacing w:after="0" w:line="240" w:lineRule="auto"/>
              <w:jc w:val="left"/>
            </w:pPr>
            <w:r>
              <w:rPr>
                <w:rFonts w:ascii="Aptos" w:hAnsi="Aptos"/>
                <w:b w:val="0"/>
                <w:i w:val="0"/>
                <w:sz w:val="17"/>
              </w:rPr>
              <w:t>Schema, rule-expression, and seed-loader foundations</w:t>
            </w:r>
          </w:p>
        </w:tc>
        <w:tc>
          <w:tcPr>
            <w:tcW w:type="dxa" w:w="3312"/>
            <w:vAlign w:val="center"/>
            <w:tcMar>
              <w:top w:w="90" w:type="dxa"/>
              <w:start w:w="100" w:type="dxa"/>
              <w:bottom w:w="90" w:type="dxa"/>
              <w:end w:w="100" w:type="dxa"/>
            </w:tcMar>
          </w:tcPr>
          <w:p>
            <w:pPr>
              <w:spacing w:after="0" w:line="240" w:lineRule="auto"/>
              <w:jc w:val="left"/>
            </w:pPr>
            <w:r>
              <w:rPr>
                <w:rFonts w:ascii="Aptos" w:hAnsi="Aptos"/>
                <w:b w:val="0"/>
                <w:i w:val="0"/>
                <w:sz w:val="17"/>
              </w:rPr>
              <w:t>Can we seed one county and one city path end-to-end?</w:t>
            </w:r>
          </w:p>
        </w:tc>
      </w:tr>
      <w:tr>
        <w:tc>
          <w:tcPr>
            <w:tcW w:type="dxa" w:w="1728"/>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Weeks 3-4</w:t>
            </w:r>
          </w:p>
        </w:tc>
        <w:tc>
          <w:tcPr>
            <w:tcW w:type="dxa" w:w="4608"/>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Template studio and admin library baseline</w:t>
            </w:r>
          </w:p>
        </w:tc>
        <w:tc>
          <w:tcPr>
            <w:tcW w:type="dxa" w:w="331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Can admins create versions and see verification state?</w:t>
            </w:r>
          </w:p>
        </w:tc>
      </w:tr>
      <w:tr>
        <w:tc>
          <w:tcPr>
            <w:tcW w:type="dxa" w:w="1728"/>
            <w:vAlign w:val="center"/>
            <w:tcMar>
              <w:top w:w="90" w:type="dxa"/>
              <w:start w:w="100" w:type="dxa"/>
              <w:bottom w:w="90" w:type="dxa"/>
              <w:end w:w="100" w:type="dxa"/>
            </w:tcMar>
          </w:tcPr>
          <w:p>
            <w:pPr>
              <w:spacing w:after="0" w:line="240" w:lineRule="auto"/>
              <w:jc w:val="center"/>
            </w:pPr>
            <w:r>
              <w:rPr>
                <w:rFonts w:ascii="Aptos" w:hAnsi="Aptos"/>
                <w:b w:val="0"/>
                <w:i w:val="0"/>
                <w:sz w:val="17"/>
              </w:rPr>
              <w:t>Weeks 5-6</w:t>
            </w:r>
          </w:p>
        </w:tc>
        <w:tc>
          <w:tcPr>
            <w:tcW w:type="dxa" w:w="4608"/>
            <w:vAlign w:val="center"/>
            <w:tcMar>
              <w:top w:w="90" w:type="dxa"/>
              <w:start w:w="100" w:type="dxa"/>
              <w:bottom w:w="90" w:type="dxa"/>
              <w:end w:w="100" w:type="dxa"/>
            </w:tcMar>
          </w:tcPr>
          <w:p>
            <w:pPr>
              <w:spacing w:after="0" w:line="240" w:lineRule="auto"/>
              <w:jc w:val="left"/>
            </w:pPr>
            <w:r>
              <w:rPr>
                <w:rFonts w:ascii="Aptos" w:hAnsi="Aptos"/>
                <w:b w:val="0"/>
                <w:i w:val="0"/>
                <w:sz w:val="17"/>
              </w:rPr>
              <w:t>Offline field runner alpha</w:t>
            </w:r>
          </w:p>
        </w:tc>
        <w:tc>
          <w:tcPr>
            <w:tcW w:type="dxa" w:w="3312"/>
            <w:vAlign w:val="center"/>
            <w:tcMar>
              <w:top w:w="90" w:type="dxa"/>
              <w:start w:w="100" w:type="dxa"/>
              <w:bottom w:w="90" w:type="dxa"/>
              <w:end w:w="100" w:type="dxa"/>
            </w:tcMar>
          </w:tcPr>
          <w:p>
            <w:pPr>
              <w:spacing w:after="0" w:line="240" w:lineRule="auto"/>
              <w:jc w:val="left"/>
            </w:pPr>
            <w:r>
              <w:rPr>
                <w:rFonts w:ascii="Aptos" w:hAnsi="Aptos"/>
                <w:b w:val="0"/>
                <w:i w:val="0"/>
                <w:sz w:val="17"/>
              </w:rPr>
              <w:t>Can users complete and resume inspections offline?</w:t>
            </w:r>
          </w:p>
        </w:tc>
      </w:tr>
      <w:tr>
        <w:tc>
          <w:tcPr>
            <w:tcW w:type="dxa" w:w="1728"/>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Weeks 7-8</w:t>
            </w:r>
          </w:p>
        </w:tc>
        <w:tc>
          <w:tcPr>
            <w:tcW w:type="dxa" w:w="4608"/>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Review queue and packet export alpha</w:t>
            </w:r>
          </w:p>
        </w:tc>
        <w:tc>
          <w:tcPr>
            <w:tcW w:type="dxa" w:w="331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Can managers approve and export usable packets?</w:t>
            </w:r>
          </w:p>
        </w:tc>
      </w:tr>
      <w:tr>
        <w:tc>
          <w:tcPr>
            <w:tcW w:type="dxa" w:w="1728"/>
            <w:vAlign w:val="center"/>
            <w:tcMar>
              <w:top w:w="90" w:type="dxa"/>
              <w:start w:w="100" w:type="dxa"/>
              <w:bottom w:w="90" w:type="dxa"/>
              <w:end w:w="100" w:type="dxa"/>
            </w:tcMar>
          </w:tcPr>
          <w:p>
            <w:pPr>
              <w:spacing w:after="0" w:line="240" w:lineRule="auto"/>
              <w:jc w:val="center"/>
            </w:pPr>
            <w:r>
              <w:rPr>
                <w:rFonts w:ascii="Aptos" w:hAnsi="Aptos"/>
                <w:b w:val="0"/>
                <w:i w:val="0"/>
                <w:sz w:val="17"/>
              </w:rPr>
              <w:t>Weeks 9-10</w:t>
            </w:r>
          </w:p>
        </w:tc>
        <w:tc>
          <w:tcPr>
            <w:tcW w:type="dxa" w:w="4608"/>
            <w:vAlign w:val="center"/>
            <w:tcMar>
              <w:top w:w="90" w:type="dxa"/>
              <w:start w:w="100" w:type="dxa"/>
              <w:bottom w:w="90" w:type="dxa"/>
              <w:end w:w="100" w:type="dxa"/>
            </w:tcMar>
          </w:tcPr>
          <w:p>
            <w:pPr>
              <w:spacing w:after="0" w:line="240" w:lineRule="auto"/>
              <w:jc w:val="left"/>
            </w:pPr>
            <w:r>
              <w:rPr>
                <w:rFonts w:ascii="Aptos" w:hAnsi="Aptos"/>
                <w:b w:val="0"/>
                <w:i w:val="0"/>
                <w:sz w:val="17"/>
              </w:rPr>
              <w:t>Jurisdiction-specific rule expansion</w:t>
            </w:r>
          </w:p>
        </w:tc>
        <w:tc>
          <w:tcPr>
            <w:tcW w:type="dxa" w:w="3312"/>
            <w:vAlign w:val="center"/>
            <w:tcMar>
              <w:top w:w="90" w:type="dxa"/>
              <w:start w:w="100" w:type="dxa"/>
              <w:bottom w:w="90" w:type="dxa"/>
              <w:end w:w="100" w:type="dxa"/>
            </w:tcMar>
          </w:tcPr>
          <w:p>
            <w:pPr>
              <w:spacing w:after="0" w:line="240" w:lineRule="auto"/>
              <w:jc w:val="left"/>
            </w:pPr>
            <w:r>
              <w:rPr>
                <w:rFonts w:ascii="Aptos" w:hAnsi="Aptos"/>
                <w:b w:val="0"/>
                <w:i w:val="0"/>
                <w:sz w:val="17"/>
              </w:rPr>
              <w:t>Can county/city packet differences be handled without code forks?</w:t>
            </w:r>
          </w:p>
        </w:tc>
      </w:tr>
      <w:tr>
        <w:tc>
          <w:tcPr>
            <w:tcW w:type="dxa" w:w="1728"/>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Weeks 11-12</w:t>
            </w:r>
          </w:p>
        </w:tc>
        <w:tc>
          <w:tcPr>
            <w:tcW w:type="dxa" w:w="4608"/>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Beta hardening and pilot prep</w:t>
            </w:r>
          </w:p>
        </w:tc>
        <w:tc>
          <w:tcPr>
            <w:tcW w:type="dxa" w:w="331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Are field teams using it without builder-side intervention?</w:t>
            </w:r>
          </w:p>
        </w:tc>
      </w:tr>
    </w:tbl>
    <w:p>
      <w:pPr>
        <w:spacing w:after="120" w:before="0" w:line="276" w:lineRule="auto"/>
      </w:pPr>
    </w:p>
    <w:p>
      <w:pPr>
        <w:pStyle w:val="Heading2"/>
        <w:keepNext/>
        <w:spacing w:after="120" w:before="0" w:line="276" w:lineRule="auto"/>
      </w:pPr>
      <w:r>
        <w:rPr>
          <w:rFonts w:ascii="Aptos" w:hAnsi="Aptos"/>
          <w:b w:val="0"/>
          <w:i w:val="0"/>
          <w:sz w:val="22"/>
        </w:rPr>
        <w:t>Lean staffing model</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Workstream</w:t>
            </w:r>
          </w:p>
        </w:tc>
        <w:tc>
          <w:tcPr>
            <w:tcW w:type="dxa" w:w="2160"/>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Owner</w:t>
            </w:r>
          </w:p>
        </w:tc>
        <w:tc>
          <w:tcPr>
            <w:tcW w:type="dxa" w:w="5184"/>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Why it matters</w:t>
            </w:r>
          </w:p>
        </w:tc>
      </w:tr>
      <w:tr>
        <w:tc>
          <w:tcPr>
            <w:tcW w:type="dxa" w:w="2304"/>
            <w:vAlign w:val="center"/>
            <w:tcMar>
              <w:top w:w="90" w:type="dxa"/>
              <w:start w:w="100" w:type="dxa"/>
              <w:bottom w:w="90" w:type="dxa"/>
              <w:end w:w="100" w:type="dxa"/>
            </w:tcMar>
          </w:tcPr>
          <w:p>
            <w:pPr>
              <w:spacing w:after="0" w:line="240" w:lineRule="auto"/>
              <w:jc w:val="center"/>
            </w:pPr>
            <w:r>
              <w:rPr>
                <w:rFonts w:ascii="Aptos" w:hAnsi="Aptos"/>
                <w:b w:val="0"/>
                <w:i w:val="0"/>
                <w:sz w:val="17"/>
              </w:rPr>
              <w:t>Product / compliance</w:t>
            </w:r>
          </w:p>
        </w:tc>
        <w:tc>
          <w:tcPr>
            <w:tcW w:type="dxa" w:w="2160"/>
            <w:vAlign w:val="center"/>
            <w:tcMar>
              <w:top w:w="90" w:type="dxa"/>
              <w:start w:w="100" w:type="dxa"/>
              <w:bottom w:w="90" w:type="dxa"/>
              <w:end w:w="100" w:type="dxa"/>
            </w:tcMar>
          </w:tcPr>
          <w:p>
            <w:pPr>
              <w:spacing w:after="0" w:line="240" w:lineRule="auto"/>
              <w:jc w:val="left"/>
            </w:pPr>
            <w:r>
              <w:rPr>
                <w:rFonts w:ascii="Aptos" w:hAnsi="Aptos"/>
                <w:b w:val="0"/>
                <w:i w:val="0"/>
                <w:sz w:val="17"/>
              </w:rPr>
              <w:t>Founder or product lead</w:t>
            </w:r>
          </w:p>
        </w:tc>
        <w:tc>
          <w:tcPr>
            <w:tcW w:type="dxa" w:w="5184"/>
            <w:vAlign w:val="center"/>
            <w:tcMar>
              <w:top w:w="90" w:type="dxa"/>
              <w:start w:w="100" w:type="dxa"/>
              <w:bottom w:w="90" w:type="dxa"/>
              <w:end w:w="100" w:type="dxa"/>
            </w:tcMar>
          </w:tcPr>
          <w:p>
            <w:pPr>
              <w:spacing w:after="0" w:line="240" w:lineRule="auto"/>
              <w:jc w:val="left"/>
            </w:pPr>
            <w:r>
              <w:rPr>
                <w:rFonts w:ascii="Aptos" w:hAnsi="Aptos"/>
                <w:b w:val="0"/>
                <w:i w:val="0"/>
                <w:sz w:val="17"/>
              </w:rPr>
              <w:t>Owns lifecycle logic, county coverage decisions, and ambiguity handling</w:t>
            </w:r>
          </w:p>
        </w:tc>
      </w:tr>
      <w:tr>
        <w:tc>
          <w:tcPr>
            <w:tcW w:type="dxa" w:w="2304"/>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Backend / data</w:t>
            </w:r>
          </w:p>
        </w:tc>
        <w:tc>
          <w:tcPr>
            <w:tcW w:type="dxa" w:w="2160"/>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Lead engineer</w:t>
            </w:r>
          </w:p>
        </w:tc>
        <w:tc>
          <w:tcPr>
            <w:tcW w:type="dxa" w:w="518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Implements schemas, seed loaders, rule engine, and packet assembly</w:t>
            </w:r>
          </w:p>
        </w:tc>
      </w:tr>
      <w:tr>
        <w:tc>
          <w:tcPr>
            <w:tcW w:type="dxa" w:w="2304"/>
            <w:vAlign w:val="center"/>
            <w:tcMar>
              <w:top w:w="90" w:type="dxa"/>
              <w:start w:w="100" w:type="dxa"/>
              <w:bottom w:w="90" w:type="dxa"/>
              <w:end w:w="100" w:type="dxa"/>
            </w:tcMar>
          </w:tcPr>
          <w:p>
            <w:pPr>
              <w:spacing w:after="0" w:line="240" w:lineRule="auto"/>
              <w:jc w:val="center"/>
            </w:pPr>
            <w:r>
              <w:rPr>
                <w:rFonts w:ascii="Aptos" w:hAnsi="Aptos"/>
                <w:b w:val="0"/>
                <w:i w:val="0"/>
                <w:sz w:val="17"/>
              </w:rPr>
              <w:t>Mobile / field UX</w:t>
            </w:r>
          </w:p>
        </w:tc>
        <w:tc>
          <w:tcPr>
            <w:tcW w:type="dxa" w:w="2160"/>
            <w:vAlign w:val="center"/>
            <w:tcMar>
              <w:top w:w="90" w:type="dxa"/>
              <w:start w:w="100" w:type="dxa"/>
              <w:bottom w:w="90" w:type="dxa"/>
              <w:end w:w="100" w:type="dxa"/>
            </w:tcMar>
          </w:tcPr>
          <w:p>
            <w:pPr>
              <w:spacing w:after="0" w:line="240" w:lineRule="auto"/>
              <w:jc w:val="left"/>
            </w:pPr>
            <w:r>
              <w:rPr>
                <w:rFonts w:ascii="Aptos" w:hAnsi="Aptos"/>
                <w:b w:val="0"/>
                <w:i w:val="0"/>
                <w:sz w:val="17"/>
              </w:rPr>
              <w:t>Mobile engineer</w:t>
            </w:r>
          </w:p>
        </w:tc>
        <w:tc>
          <w:tcPr>
            <w:tcW w:type="dxa" w:w="5184"/>
            <w:vAlign w:val="center"/>
            <w:tcMar>
              <w:top w:w="90" w:type="dxa"/>
              <w:start w:w="100" w:type="dxa"/>
              <w:bottom w:w="90" w:type="dxa"/>
              <w:end w:w="100" w:type="dxa"/>
            </w:tcMar>
          </w:tcPr>
          <w:p>
            <w:pPr>
              <w:spacing w:after="0" w:line="240" w:lineRule="auto"/>
              <w:jc w:val="left"/>
            </w:pPr>
            <w:r>
              <w:rPr>
                <w:rFonts w:ascii="Aptos" w:hAnsi="Aptos"/>
                <w:b w:val="0"/>
                <w:i w:val="0"/>
                <w:sz w:val="17"/>
              </w:rPr>
              <w:t>Owns offline runner, draft sync, attachments, and signatures</w:t>
            </w:r>
          </w:p>
        </w:tc>
      </w:tr>
      <w:tr>
        <w:tc>
          <w:tcPr>
            <w:tcW w:type="dxa" w:w="2304"/>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Web / admin UX</w:t>
            </w:r>
          </w:p>
        </w:tc>
        <w:tc>
          <w:tcPr>
            <w:tcW w:type="dxa" w:w="2160"/>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Frontend engineer or full-stack</w:t>
            </w:r>
          </w:p>
        </w:tc>
        <w:tc>
          <w:tcPr>
            <w:tcW w:type="dxa" w:w="518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Owns template studio, review queue, and admin library</w:t>
            </w:r>
          </w:p>
        </w:tc>
      </w:tr>
      <w:tr>
        <w:tc>
          <w:tcPr>
            <w:tcW w:type="dxa" w:w="2304"/>
            <w:vAlign w:val="center"/>
            <w:tcMar>
              <w:top w:w="90" w:type="dxa"/>
              <w:start w:w="100" w:type="dxa"/>
              <w:bottom w:w="90" w:type="dxa"/>
              <w:end w:w="100" w:type="dxa"/>
            </w:tcMar>
          </w:tcPr>
          <w:p>
            <w:pPr>
              <w:spacing w:after="0" w:line="240" w:lineRule="auto"/>
              <w:jc w:val="center"/>
            </w:pPr>
            <w:r>
              <w:rPr>
                <w:rFonts w:ascii="Aptos" w:hAnsi="Aptos"/>
                <w:b w:val="0"/>
                <w:i w:val="0"/>
                <w:sz w:val="17"/>
              </w:rPr>
              <w:t>QA / field validation</w:t>
            </w:r>
          </w:p>
        </w:tc>
        <w:tc>
          <w:tcPr>
            <w:tcW w:type="dxa" w:w="2160"/>
            <w:vAlign w:val="center"/>
            <w:tcMar>
              <w:top w:w="90" w:type="dxa"/>
              <w:start w:w="100" w:type="dxa"/>
              <w:bottom w:w="90" w:type="dxa"/>
              <w:end w:w="100" w:type="dxa"/>
            </w:tcMar>
          </w:tcPr>
          <w:p>
            <w:pPr>
              <w:spacing w:after="0" w:line="240" w:lineRule="auto"/>
              <w:jc w:val="left"/>
            </w:pPr>
            <w:r>
              <w:rPr>
                <w:rFonts w:ascii="Aptos" w:hAnsi="Aptos"/>
                <w:b w:val="0"/>
                <w:i w:val="0"/>
                <w:sz w:val="17"/>
              </w:rPr>
              <w:t>Ops lead or trusted pilot manager</w:t>
            </w:r>
          </w:p>
        </w:tc>
        <w:tc>
          <w:tcPr>
            <w:tcW w:type="dxa" w:w="5184"/>
            <w:vAlign w:val="center"/>
            <w:tcMar>
              <w:top w:w="90" w:type="dxa"/>
              <w:start w:w="100" w:type="dxa"/>
              <w:bottom w:w="90" w:type="dxa"/>
              <w:end w:w="100" w:type="dxa"/>
            </w:tcMar>
          </w:tcPr>
          <w:p>
            <w:pPr>
              <w:spacing w:after="0" w:line="240" w:lineRule="auto"/>
              <w:jc w:val="left"/>
            </w:pPr>
            <w:r>
              <w:rPr>
                <w:rFonts w:ascii="Aptos" w:hAnsi="Aptos"/>
                <w:b w:val="0"/>
                <w:i w:val="0"/>
                <w:sz w:val="17"/>
              </w:rPr>
              <w:t>Finds rule gaps that do not show up in desk review</w:t>
            </w:r>
          </w:p>
        </w:tc>
      </w:tr>
    </w:tbl>
    <w:p>
      <w:pPr>
        <w:spacing w:after="120" w:before="0" w:line="276" w:lineRule="auto"/>
      </w:pPr>
    </w:p>
    <w:p>
      <w:pPr>
        <w:pStyle w:val="Heading1"/>
        <w:keepNext/>
        <w:spacing w:after="120" w:before="0" w:line="276" w:lineRule="auto"/>
      </w:pPr>
      <w:r>
        <w:rPr>
          <w:rFonts w:ascii="Aptos" w:hAnsi="Aptos"/>
          <w:b w:val="0"/>
          <w:i w:val="0"/>
          <w:sz w:val="22"/>
        </w:rPr>
        <w:t>Field validation loop</w:t>
      </w:r>
    </w:p>
    <w:p>
      <w:pPr>
        <w:pStyle w:val="ListBullet"/>
        <w:spacing w:after="80" w:line="269" w:lineRule="auto"/>
      </w:pPr>
      <w:r>
        <w:rPr>
          <w:rFonts w:ascii="Aptos" w:hAnsi="Aptos"/>
          <w:b w:val="0"/>
          <w:i w:val="0"/>
          <w:sz w:val="22"/>
        </w:rPr>
        <w:t>Run weekly internal field tests during alpha: one SWPPP run, one special-inspection packet run, one trade-inspection scheduling path.</w:t>
      </w:r>
    </w:p>
    <w:p>
      <w:pPr>
        <w:pStyle w:val="ListBullet"/>
        <w:spacing w:after="80" w:line="269" w:lineRule="auto"/>
      </w:pPr>
      <w:r>
        <w:rPr>
          <w:rFonts w:ascii="Aptos" w:hAnsi="Aptos"/>
          <w:b w:val="0"/>
          <w:i w:val="0"/>
          <w:sz w:val="22"/>
        </w:rPr>
        <w:t>Capture every “we had to do this outside the app” moment as a rule-gap or UX-gap ticket.</w:t>
      </w:r>
    </w:p>
    <w:p>
      <w:pPr>
        <w:pStyle w:val="ListBullet"/>
        <w:spacing w:after="80" w:line="269" w:lineRule="auto"/>
      </w:pPr>
      <w:r>
        <w:rPr>
          <w:rFonts w:ascii="Aptos" w:hAnsi="Aptos"/>
          <w:b w:val="0"/>
          <w:i w:val="0"/>
          <w:sz w:val="22"/>
        </w:rPr>
        <w:t>At the end of each phase, refresh the controlled forms library and review unresolved gap-note entries.</w:t>
      </w:r>
    </w:p>
    <w:p>
      <w:pPr>
        <w:pStyle w:val="ListBullet"/>
        <w:spacing w:after="80" w:line="269" w:lineRule="auto"/>
      </w:pPr>
      <w:r>
        <w:rPr>
          <w:rFonts w:ascii="Aptos" w:hAnsi="Aptos"/>
          <w:b w:val="0"/>
          <w:i w:val="0"/>
          <w:sz w:val="22"/>
        </w:rPr>
        <w:t>Do not promote a jurisdiction path to paid-pilot-ready until its packet flow can be seeded and executed from metadata and documented evidence.</w:t>
      </w:r>
    </w:p>
    <w:sectPr w:rsidR="00FC693F" w:rsidRPr="0006063C" w:rsidSect="00034616">
      <w:headerReference w:type="default" r:id="rId9"/>
      <w:footerReference w:type="default" r:id="rId10"/>
      <w:pgSz w:w="12240" w:h="15840"/>
      <w:pgMar w:top="1008"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777777"/>
        <w:sz w:val="18"/>
      </w:rPr>
      <w:t>Inspection.OS - working source set - March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666666"/>
        <w:sz w:val="18"/>
      </w:rPr>
      <w:t>Inspection.OS MVP and Phasing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3A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5C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D3D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13A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