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i w:val="0"/>
          <w:color w:val="113A5C"/>
          <w:sz w:val="48"/>
        </w:rPr>
        <w:t>Inspection.OS</w:t>
      </w:r>
    </w:p>
    <w:p>
      <w:pPr>
        <w:jc w:val="center"/>
      </w:pPr>
      <w:r>
        <w:rPr>
          <w:rFonts w:ascii="Aptos" w:hAnsi="Aptos"/>
          <w:b w:val="0"/>
          <w:i w:val="0"/>
          <w:color w:val="4D5C67"/>
          <w:sz w:val="26"/>
        </w:rPr>
        <w:t>Source-of-Truth Product and Compliance Architecture</w:t>
      </w:r>
    </w:p>
    <w:p>
      <w:pPr>
        <w:jc w:val="center"/>
      </w:pPr>
      <w:r>
        <w:rPr>
          <w:rFonts w:ascii="Aptos" w:hAnsi="Aptos"/>
          <w:b w:val="0"/>
          <w:i w:val="0"/>
          <w:color w:val="777777"/>
          <w:sz w:val="21"/>
        </w:rPr>
        <w:t>Working draft v1.0 - March 22, 2026</w:t>
      </w:r>
    </w:p>
    <w:p/>
    <w:tbl>
      <w:tblPr>
        <w:tblW w:type="auto" w:w="0"/>
        <w:jc w:val="center"/>
        <w:tblLook w:firstColumn="1" w:firstRow="1" w:lastColumn="0" w:lastRow="0" w:noHBand="0" w:noVBand="1" w:val="04A0"/>
      </w:tblPr>
      <w:tblGrid>
        <w:gridCol w:w="9936"/>
      </w:tblGrid>
      <w:tr>
        <w:tc>
          <w:tcPr>
            <w:tcW w:type="dxa" w:w="8352"/>
            <w:shd w:fill="EAF2F8"/>
            <w:tcMar>
              <w:top w:w="150" w:type="dxa"/>
              <w:start w:w="180" w:type="dxa"/>
              <w:bottom w:w="150" w:type="dxa"/>
              <w:end w:w="180" w:type="dxa"/>
            </w:tcMar>
          </w:tcPr>
          <w:p>
            <w:pPr>
              <w:spacing w:after="80"/>
              <w:jc w:val="left"/>
            </w:pPr>
            <w:r>
              <w:rPr>
                <w:rFonts w:ascii="Aptos" w:hAnsi="Aptos"/>
                <w:b w:val="0"/>
                <w:i w:val="0"/>
                <w:color w:val="2F3A40"/>
                <w:sz w:val="21"/>
              </w:rPr>
              <w:t>Purpose: upgraded core source for downstream PRD, MVP planning, and implementation seeding.</w:t>
            </w:r>
          </w:p>
          <w:p>
            <w:pPr>
              <w:spacing w:after="80"/>
              <w:jc w:val="left"/>
            </w:pPr>
            <w:r>
              <w:rPr>
                <w:rFonts w:ascii="Aptos" w:hAnsi="Aptos"/>
                <w:b w:val="0"/>
                <w:i w:val="0"/>
                <w:color w:val="2F3A40"/>
                <w:sz w:val="21"/>
              </w:rPr>
              <w:t>Scope: 9 Bay Area counties first; Northern California second; California statewide frameworks always on.</w:t>
            </w:r>
          </w:p>
          <w:p>
            <w:pPr>
              <w:spacing w:after="80"/>
              <w:jc w:val="left"/>
            </w:pPr>
            <w:r>
              <w:rPr>
                <w:rFonts w:ascii="Aptos" w:hAnsi="Aptos"/>
                <w:b w:val="0"/>
                <w:i w:val="0"/>
                <w:color w:val="2F3A40"/>
                <w:sz w:val="21"/>
              </w:rPr>
              <w:t>Design intent: turn prior narrative upgrades into explicit runtime logic, packet rules, template taxonomies, and governance decisions.</w:t>
            </w:r>
          </w:p>
        </w:tc>
      </w:tr>
    </w:tbl>
    <w:p>
      <w:r>
        <w:br w:type="page"/>
      </w:r>
    </w:p>
    <w:p>
      <w:pPr>
        <w:pStyle w:val="Heading1"/>
        <w:keepNext/>
        <w:spacing w:after="120" w:before="0" w:line="276" w:lineRule="auto"/>
      </w:pPr>
      <w:r>
        <w:rPr>
          <w:rFonts w:ascii="Aptos" w:hAnsi="Aptos"/>
          <w:b w:val="0"/>
          <w:i w:val="0"/>
          <w:sz w:val="22"/>
        </w:rPr>
        <w:t>Document Control</w:t>
      </w:r>
    </w:p>
    <w:tbl>
      <w:tblPr>
        <w:tblStyle w:val="TableGrid"/>
        <w:tblW w:type="auto" w:w="0"/>
        <w:jc w:val="center"/>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Document type</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Source-of-truth specification</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Version</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v1.0 working draft</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Date</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2026-03-22</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Primary geography</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9 Bay Area counties, with city and agency variants</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Secondary geography</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Northern California expansion under same architecture</w:t>
            </w:r>
          </w:p>
        </w:tc>
      </w:tr>
      <w:tr>
        <w:tc>
          <w:tcPr>
            <w:tcW w:type="dxa" w:w="2592"/>
            <w:tcMar>
              <w:top w:w="80" w:type="dxa"/>
              <w:start w:w="100" w:type="dxa"/>
              <w:bottom w:w="80" w:type="dxa"/>
              <w:end w:w="100" w:type="dxa"/>
            </w:tcMar>
            <w:vAlign w:val="center"/>
            <w:shd w:fill="EAF2F8"/>
          </w:tcPr>
          <w:p>
            <w:pPr>
              <w:spacing w:after="20" w:line="259" w:lineRule="auto"/>
            </w:pPr>
            <w:r>
              <w:rPr>
                <w:rFonts w:ascii="Aptos" w:hAnsi="Aptos"/>
                <w:b/>
                <w:i w:val="0"/>
                <w:color w:val="113A5C"/>
                <w:sz w:val="20"/>
              </w:rPr>
              <w:t>Always-on programs</w:t>
            </w:r>
          </w:p>
        </w:tc>
        <w:tc>
          <w:tcPr>
            <w:tcW w:type="dxa" w:w="7056"/>
            <w:tcMar>
              <w:top w:w="80" w:type="dxa"/>
              <w:start w:w="100" w:type="dxa"/>
              <w:bottom w:w="80" w:type="dxa"/>
              <w:end w:w="100" w:type="dxa"/>
            </w:tcMar>
            <w:vAlign w:val="center"/>
          </w:tcPr>
          <w:p>
            <w:pPr>
              <w:spacing w:after="20" w:line="259" w:lineRule="auto"/>
            </w:pPr>
            <w:r>
              <w:rPr>
                <w:rFonts w:ascii="Aptos" w:hAnsi="Aptos"/>
                <w:b w:val="0"/>
                <w:i w:val="0"/>
                <w:sz w:val="20"/>
              </w:rPr>
              <w:t>California statewide permit, safety, environmental, and reporting frameworks</w:t>
            </w:r>
          </w:p>
        </w:tc>
      </w:tr>
    </w:tbl>
    <w:p>
      <w:pPr>
        <w:pStyle w:val="Heading3"/>
        <w:keepNext/>
        <w:spacing w:after="120" w:before="0" w:line="276" w:lineRule="auto"/>
      </w:pPr>
      <w:r>
        <w:rPr>
          <w:rFonts w:ascii="Aptos" w:hAnsi="Aptos"/>
          <w:b w:val="0"/>
          <w:i w:val="0"/>
          <w:sz w:val="22"/>
        </w:rPr>
        <w:t>Source basis</w:t>
      </w:r>
    </w:p>
    <w:p>
      <w:pPr>
        <w:pStyle w:val="ListBullet"/>
        <w:spacing w:after="40" w:line="269" w:lineRule="auto"/>
      </w:pPr>
      <w:r>
        <w:rPr>
          <w:rFonts w:ascii="Aptos" w:hAnsi="Aptos"/>
          <w:b w:val="0"/>
          <w:i w:val="0"/>
          <w:sz w:val="22"/>
        </w:rPr>
        <w:t>Inspection.OS.txt</w:t>
      </w:r>
    </w:p>
    <w:p>
      <w:pPr>
        <w:pStyle w:val="ListBullet"/>
        <w:spacing w:after="40" w:line="269" w:lineRule="auto"/>
      </w:pPr>
      <w:r>
        <w:rPr>
          <w:rFonts w:ascii="Aptos" w:hAnsi="Aptos"/>
          <w:b w:val="0"/>
          <w:i w:val="0"/>
          <w:sz w:val="22"/>
        </w:rPr>
        <w:t>InspectionOS_Full_Binder_2026-03-21 (1).pdf</w:t>
      </w:r>
    </w:p>
    <w:p>
      <w:pPr>
        <w:pStyle w:val="ListBullet"/>
        <w:spacing w:after="40" w:line="269" w:lineRule="auto"/>
      </w:pPr>
      <w:r>
        <w:rPr>
          <w:rFonts w:ascii="Aptos" w:hAnsi="Aptos"/>
          <w:b w:val="0"/>
          <w:i w:val="0"/>
          <w:sz w:val="22"/>
        </w:rPr>
        <w:t>InspectionOS_BayArea_Next_Pass_Binder_2026-03-21.pdf</w:t>
      </w:r>
    </w:p>
    <w:p>
      <w:pPr>
        <w:pStyle w:val="ListBullet"/>
        <w:spacing w:after="40" w:line="269" w:lineRule="auto"/>
      </w:pPr>
      <w:r>
        <w:rPr>
          <w:rFonts w:ascii="Aptos" w:hAnsi="Aptos"/>
          <w:b w:val="0"/>
          <w:i w:val="0"/>
          <w:sz w:val="22"/>
        </w:rPr>
        <w:t>InspectionOS_MVP_App_Native_Schema_Tables_2026-03-21.pdf</w:t>
      </w:r>
    </w:p>
    <w:p>
      <w:pPr>
        <w:pStyle w:val="ListBullet"/>
        <w:spacing w:after="40" w:line="269" w:lineRule="auto"/>
      </w:pPr>
      <w:r>
        <w:rPr>
          <w:rFonts w:ascii="Aptos" w:hAnsi="Aptos"/>
          <w:b w:val="0"/>
          <w:i w:val="0"/>
          <w:sz w:val="22"/>
        </w:rPr>
        <w:t>[COUNTY-Marin]_Building-Permit-Submittal-Checklist_Special-Inspection-Trigger.pdf</w:t>
      </w:r>
    </w:p>
    <w:p>
      <w:pPr>
        <w:pStyle w:val="ListBullet"/>
        <w:spacing w:after="40" w:line="269" w:lineRule="auto"/>
      </w:pPr>
      <w:r>
        <w:rPr>
          <w:rFonts w:ascii="Aptos" w:hAnsi="Aptos"/>
          <w:b w:val="0"/>
          <w:i w:val="0"/>
          <w:sz w:val="22"/>
        </w:rPr>
        <w:t>[COUNTY-Contra-Costa]_Special-Inspections-Program-and-Recognized-Agencies.pdf</w:t>
      </w:r>
    </w:p>
    <w:p>
      <w:pPr>
        <w:spacing w:after="120" w:before="0" w:line="276" w:lineRule="auto"/>
      </w:pPr>
    </w:p>
    <w:p>
      <w:pPr>
        <w:pStyle w:val="Heading1"/>
        <w:keepNext/>
        <w:spacing w:after="120" w:before="0" w:line="276" w:lineRule="auto"/>
      </w:pPr>
      <w:r>
        <w:rPr>
          <w:rFonts w:ascii="Aptos" w:hAnsi="Aptos"/>
          <w:b w:val="0"/>
          <w:i w:val="0"/>
          <w:sz w:val="22"/>
        </w:rPr>
        <w:t>Source baseline</w:t>
      </w:r>
    </w:p>
    <w:p>
      <w:pPr>
        <w:spacing w:after="120" w:before="0" w:line="276" w:lineRule="auto"/>
      </w:pPr>
      <w:r>
        <w:rPr>
          <w:rFonts w:ascii="Aptos" w:hAnsi="Aptos"/>
          <w:b w:val="0"/>
          <w:i w:val="0"/>
          <w:sz w:val="22"/>
        </w:rPr>
        <w:t>This document set is an upgraded working baseline built from the original Inspection.OS brief plus the later binder, index, and schema passes. The original brief defined the product as a standalone Bay Area field toolkit with offline capture, evidence integrity, corrective actions, manager review, and defensible reporting. Later passes tightened the SWPPP lifecycle, expanded the county-specific official-source library, and converted the county-index logic into app-native schema tables.</w:t>
      </w:r>
    </w:p>
    <w:p>
      <w:pPr>
        <w:pStyle w:val="ListBullet"/>
        <w:spacing w:after="80" w:line="269" w:lineRule="auto"/>
      </w:pPr>
      <w:r>
        <w:rPr>
          <w:rFonts w:ascii="Aptos" w:hAnsi="Aptos"/>
          <w:b w:val="0"/>
          <w:i w:val="0"/>
          <w:sz w:val="22"/>
        </w:rPr>
        <w:t>Original thesis retained: standalone, Bay Area-first, evidence-forward field inspection system.</w:t>
      </w:r>
    </w:p>
    <w:p>
      <w:pPr>
        <w:pStyle w:val="ListBullet"/>
        <w:spacing w:after="80" w:line="269" w:lineRule="auto"/>
      </w:pPr>
      <w:r>
        <w:rPr>
          <w:rFonts w:ascii="Aptos" w:hAnsi="Aptos"/>
          <w:b w:val="0"/>
          <w:i w:val="0"/>
          <w:sz w:val="22"/>
        </w:rPr>
        <w:t>Major correction retained: compliance logic must be modeled as a lifecycle, not just as static templates.</w:t>
      </w:r>
    </w:p>
    <w:p>
      <w:pPr>
        <w:pStyle w:val="ListBullet"/>
        <w:spacing w:after="80" w:line="269" w:lineRule="auto"/>
      </w:pPr>
      <w:r>
        <w:rPr>
          <w:rFonts w:ascii="Aptos" w:hAnsi="Aptos"/>
          <w:b w:val="0"/>
          <w:i w:val="0"/>
          <w:sz w:val="22"/>
        </w:rPr>
        <w:t>County/city variation retained: packet logic must be metadata-driven rather than hardcoded into field workflow branches.</w:t>
      </w:r>
    </w:p>
    <w:p>
      <w:pPr>
        <w:pStyle w:val="ListBullet"/>
        <w:spacing w:after="80" w:line="269" w:lineRule="auto"/>
      </w:pPr>
      <w:r>
        <w:rPr>
          <w:rFonts w:ascii="Aptos" w:hAnsi="Aptos"/>
          <w:b w:val="0"/>
          <w:i w:val="0"/>
          <w:sz w:val="22"/>
        </w:rPr>
        <w:t>Transparency rule retained: where a jurisdiction exposes only a trigger source or approved-agency source, that distinction stays explicit in the data model.</w:t>
      </w:r>
    </w:p>
    <w:p>
      <w:pPr>
        <w:pStyle w:val="Heading1"/>
        <w:keepNext/>
        <w:spacing w:after="120" w:before="0" w:line="276" w:lineRule="auto"/>
      </w:pPr>
      <w:r>
        <w:rPr>
          <w:rFonts w:ascii="Aptos" w:hAnsi="Aptos"/>
          <w:b w:val="0"/>
          <w:i w:val="0"/>
          <w:sz w:val="22"/>
        </w:rPr>
        <w:t>Product thesis and operating model</w:t>
      </w:r>
    </w:p>
    <w:p>
      <w:pPr>
        <w:spacing w:after="120" w:before="0" w:line="276" w:lineRule="auto"/>
      </w:pPr>
      <w:r>
        <w:rPr>
          <w:rFonts w:ascii="Aptos" w:hAnsi="Aptos"/>
          <w:b w:val="0"/>
          <w:i w:val="0"/>
          <w:sz w:val="22"/>
        </w:rPr>
        <w:t>Inspection.OS should function as an evidence-forward compliance record system for Bay Area construction teams rather than as a generic checklist app. Its job is to make the regulated lifecycle legible, enforce opening and closing gates, and produce defensible export packets that can survive owner review, agency review, and internal QA/QC review.</w:t>
      </w:r>
    </w:p>
    <w:tbl>
      <w:tblPr>
        <w:tblW w:type="auto" w:w="0"/>
        <w:jc w:val="center"/>
        <w:tblLook w:firstColumn="1" w:firstRow="1" w:lastColumn="0" w:lastRow="0" w:noHBand="0" w:noVBand="1" w:val="04A0"/>
      </w:tblPr>
      <w:tblGrid>
        <w:gridCol w:w="9936"/>
      </w:tblGrid>
      <w:tr>
        <w:tc>
          <w:tcPr>
            <w:tcW w:type="dxa" w:w="9936"/>
            <w:shd w:fill="F7F3E9"/>
            <w:tcMar>
              <w:top w:w="130" w:type="dxa"/>
              <w:start w:w="150" w:type="dxa"/>
              <w:bottom w:w="130" w:type="dxa"/>
              <w:end w:w="150" w:type="dxa"/>
            </w:tcMar>
          </w:tcPr>
          <w:p>
            <w:pPr>
              <w:spacing w:after="0"/>
            </w:pPr>
            <w:r>
              <w:rPr>
                <w:rFonts w:ascii="Aptos" w:hAnsi="Aptos"/>
                <w:b/>
                <w:i w:val="0"/>
                <w:color w:val="6A4B00"/>
                <w:sz w:val="21"/>
              </w:rPr>
              <w:t xml:space="preserve">Operating model: </w:t>
            </w:r>
            <w:r>
              <w:rPr>
                <w:rFonts w:ascii="Aptos" w:hAnsi="Aptos"/>
                <w:b w:val="0"/>
                <w:i w:val="0"/>
                <w:color w:val="433C31"/>
                <w:sz w:val="21"/>
              </w:rPr>
              <w:t>The working model is: program lifecycle -&gt; packet requirements -&gt; field inspections -&gt; issue routing -&gt; verification -&gt; compliance packet export. The inspection itself is only one obligation type inside a broader state machine.</w:t>
            </w:r>
          </w:p>
        </w:tc>
      </w:tr>
    </w:tbl>
    <w:p/>
    <w:p>
      <w:pPr>
        <w:pStyle w:val="Heading2"/>
        <w:keepNext/>
        <w:spacing w:after="120" w:before="0" w:line="276" w:lineRule="auto"/>
      </w:pPr>
      <w:r>
        <w:rPr>
          <w:rFonts w:ascii="Aptos" w:hAnsi="Aptos"/>
          <w:b w:val="0"/>
          <w:i w:val="0"/>
          <w:sz w:val="22"/>
        </w:rPr>
        <w:t>Core product modules</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Module</w:t>
            </w:r>
          </w:p>
        </w:tc>
        <w:tc>
          <w:tcPr>
            <w:tcW w:type="dxa" w:w="453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What it owns</w:t>
            </w:r>
          </w:p>
        </w:tc>
        <w:tc>
          <w:tcPr>
            <w:tcW w:type="dxa" w:w="288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Design note</w:t>
            </w:r>
          </w:p>
        </w:tc>
      </w:tr>
      <w:tr>
        <w:tc>
          <w:tcPr>
            <w:tcW w:type="dxa" w:w="2088"/>
            <w:vAlign w:val="center"/>
            <w:tcMar>
              <w:top w:w="90" w:type="dxa"/>
              <w:start w:w="100" w:type="dxa"/>
              <w:bottom w:w="90" w:type="dxa"/>
              <w:end w:w="100" w:type="dxa"/>
            </w:tcMar>
          </w:tcPr>
          <w:p>
            <w:pPr>
              <w:spacing w:after="0" w:line="240" w:lineRule="auto"/>
              <w:jc w:val="center"/>
            </w:pPr>
            <w:r>
              <w:rPr>
                <w:rFonts w:ascii="Aptos" w:hAnsi="Aptos"/>
                <w:b w:val="0"/>
                <w:i w:val="0"/>
                <w:sz w:val="18"/>
              </w:rPr>
              <w:t>SWPPP / CGP</w:t>
            </w:r>
          </w:p>
        </w:tc>
        <w:tc>
          <w:tcPr>
            <w:tcW w:type="dxa" w:w="4536"/>
            <w:vAlign w:val="center"/>
            <w:tcMar>
              <w:top w:w="90" w:type="dxa"/>
              <w:start w:w="100" w:type="dxa"/>
              <w:bottom w:w="90" w:type="dxa"/>
              <w:end w:w="100" w:type="dxa"/>
            </w:tcMar>
          </w:tcPr>
          <w:p>
            <w:pPr>
              <w:spacing w:after="0" w:line="240" w:lineRule="auto"/>
              <w:jc w:val="left"/>
            </w:pPr>
            <w:r>
              <w:rPr>
                <w:rFonts w:ascii="Aptos" w:hAnsi="Aptos"/>
                <w:b w:val="0"/>
                <w:i w:val="0"/>
                <w:sz w:val="18"/>
              </w:rPr>
              <w:t>NOI, PRDs, signer path, WDID posting, recurring inspections, annual report, NOT closeout</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8"/>
              </w:rPr>
              <w:t>Statewide-first lifecycle with site-specific gates</w:t>
            </w:r>
          </w:p>
        </w:tc>
      </w:tr>
      <w:tr>
        <w:tc>
          <w:tcPr>
            <w:tcW w:type="dxa" w:w="2088"/>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Special inspections</w:t>
            </w:r>
          </w:p>
        </w:tc>
        <w:tc>
          <w:tcPr>
            <w:tcW w:type="dxa" w:w="4536"/>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Jurisdiction-aware packet builder, weekly reporting cadence, closeout letters, recognition controls</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County/city packet variability is first-class</w:t>
            </w:r>
          </w:p>
        </w:tc>
      </w:tr>
      <w:tr>
        <w:tc>
          <w:tcPr>
            <w:tcW w:type="dxa" w:w="2088"/>
            <w:vAlign w:val="center"/>
            <w:tcMar>
              <w:top w:w="90" w:type="dxa"/>
              <w:start w:w="100" w:type="dxa"/>
              <w:bottom w:w="90" w:type="dxa"/>
              <w:end w:w="100" w:type="dxa"/>
            </w:tcMar>
          </w:tcPr>
          <w:p>
            <w:pPr>
              <w:spacing w:after="0" w:line="240" w:lineRule="auto"/>
              <w:jc w:val="center"/>
            </w:pPr>
            <w:r>
              <w:rPr>
                <w:rFonts w:ascii="Aptos" w:hAnsi="Aptos"/>
                <w:b w:val="0"/>
                <w:i w:val="0"/>
                <w:sz w:val="18"/>
              </w:rPr>
              <w:t>Dust control</w:t>
            </w:r>
          </w:p>
        </w:tc>
        <w:tc>
          <w:tcPr>
            <w:tcW w:type="dxa" w:w="4536"/>
            <w:vAlign w:val="center"/>
            <w:tcMar>
              <w:top w:w="90" w:type="dxa"/>
              <w:start w:w="100" w:type="dxa"/>
              <w:bottom w:w="90" w:type="dxa"/>
              <w:end w:w="100" w:type="dxa"/>
            </w:tcMar>
          </w:tcPr>
          <w:p>
            <w:pPr>
              <w:spacing w:after="0" w:line="240" w:lineRule="auto"/>
              <w:jc w:val="left"/>
            </w:pPr>
            <w:r>
              <w:rPr>
                <w:rFonts w:ascii="Aptos" w:hAnsi="Aptos"/>
                <w:b w:val="0"/>
                <w:i w:val="0"/>
                <w:sz w:val="18"/>
              </w:rPr>
              <w:t>Applicability gate, plan approval tracking, monitoring, evidence exports</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8"/>
              </w:rPr>
              <w:t>San Francisco-first detailed module</w:t>
            </w:r>
          </w:p>
        </w:tc>
      </w:tr>
      <w:tr>
        <w:tc>
          <w:tcPr>
            <w:tcW w:type="dxa" w:w="2088"/>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Asbestos / demolition</w:t>
            </w:r>
          </w:p>
        </w:tc>
        <w:tc>
          <w:tcPr>
            <w:tcW w:type="dxa" w:w="4536"/>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BAAQMD J# readiness, date revision control, acknowledgment capture</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Regional workflow with date sensitivity</w:t>
            </w:r>
          </w:p>
        </w:tc>
      </w:tr>
      <w:tr>
        <w:tc>
          <w:tcPr>
            <w:tcW w:type="dxa" w:w="2088"/>
            <w:vAlign w:val="center"/>
            <w:tcMar>
              <w:top w:w="90" w:type="dxa"/>
              <w:start w:w="100" w:type="dxa"/>
              <w:bottom w:w="90" w:type="dxa"/>
              <w:end w:w="100" w:type="dxa"/>
            </w:tcMar>
          </w:tcPr>
          <w:p>
            <w:pPr>
              <w:spacing w:after="0" w:line="240" w:lineRule="auto"/>
              <w:jc w:val="center"/>
            </w:pPr>
            <w:r>
              <w:rPr>
                <w:rFonts w:ascii="Aptos" w:hAnsi="Aptos"/>
                <w:b w:val="0"/>
                <w:i w:val="0"/>
                <w:sz w:val="18"/>
              </w:rPr>
              <w:t>HazMat / CERS</w:t>
            </w:r>
          </w:p>
        </w:tc>
        <w:tc>
          <w:tcPr>
            <w:tcW w:type="dxa" w:w="4536"/>
            <w:vAlign w:val="center"/>
            <w:tcMar>
              <w:top w:w="90" w:type="dxa"/>
              <w:start w:w="100" w:type="dxa"/>
              <w:bottom w:w="90" w:type="dxa"/>
              <w:end w:w="100" w:type="dxa"/>
            </w:tcMar>
          </w:tcPr>
          <w:p>
            <w:pPr>
              <w:spacing w:after="0" w:line="240" w:lineRule="auto"/>
              <w:jc w:val="left"/>
            </w:pPr>
            <w:r>
              <w:rPr>
                <w:rFonts w:ascii="Aptos" w:hAnsi="Aptos"/>
                <w:b w:val="0"/>
                <w:i w:val="0"/>
                <w:sz w:val="18"/>
              </w:rPr>
              <w:t>Inventory controls, packet readiness, attachment completeness</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8"/>
              </w:rPr>
              <w:t>Statewide schema with local CUPA enforcement</w:t>
            </w:r>
          </w:p>
        </w:tc>
      </w:tr>
      <w:tr>
        <w:tc>
          <w:tcPr>
            <w:tcW w:type="dxa" w:w="2088"/>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Trade inspections</w:t>
            </w:r>
          </w:p>
        </w:tc>
        <w:tc>
          <w:tcPr>
            <w:tcW w:type="dxa" w:w="4536"/>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Building / plumbing / mechanical / electrical request tracking and code mapping</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City and county scheduling differences</w:t>
            </w:r>
          </w:p>
        </w:tc>
      </w:tr>
    </w:tbl>
    <w:p>
      <w:pPr>
        <w:spacing w:after="120" w:before="0" w:line="276" w:lineRule="auto"/>
      </w:pPr>
    </w:p>
    <w:p>
      <w:pPr>
        <w:pStyle w:val="Heading2"/>
        <w:keepNext/>
        <w:spacing w:after="120" w:before="0" w:line="276" w:lineRule="auto"/>
      </w:pPr>
      <w:r>
        <w:rPr>
          <w:rFonts w:ascii="Aptos" w:hAnsi="Aptos"/>
          <w:b w:val="0"/>
          <w:i w:val="0"/>
          <w:sz w:val="22"/>
        </w:rPr>
        <w:t>Non-negotiable product rules</w:t>
      </w:r>
    </w:p>
    <w:p>
      <w:pPr>
        <w:pStyle w:val="ListBullet"/>
        <w:spacing w:after="80" w:line="269" w:lineRule="auto"/>
      </w:pPr>
      <w:r>
        <w:rPr>
          <w:rFonts w:ascii="Aptos" w:hAnsi="Aptos"/>
          <w:b w:val="0"/>
          <w:i w:val="0"/>
          <w:sz w:val="22"/>
        </w:rPr>
        <w:t>Offline field execution is the default, not a fallback.</w:t>
      </w:r>
    </w:p>
    <w:p>
      <w:pPr>
        <w:pStyle w:val="ListBullet"/>
        <w:spacing w:after="80" w:line="269" w:lineRule="auto"/>
      </w:pPr>
      <w:r>
        <w:rPr>
          <w:rFonts w:ascii="Aptos" w:hAnsi="Aptos"/>
          <w:b w:val="0"/>
          <w:i w:val="0"/>
          <w:sz w:val="22"/>
        </w:rPr>
        <w:t>Every inspection run stores template version, user, timestamps, optional GPS, and immutable audit events.</w:t>
      </w:r>
    </w:p>
    <w:p>
      <w:pPr>
        <w:pStyle w:val="ListBullet"/>
        <w:spacing w:after="80" w:line="269" w:lineRule="auto"/>
      </w:pPr>
      <w:r>
        <w:rPr>
          <w:rFonts w:ascii="Aptos" w:hAnsi="Aptos"/>
          <w:b w:val="0"/>
          <w:i w:val="0"/>
          <w:sz w:val="22"/>
        </w:rPr>
        <w:t>Failed items can spawn corrective actions with owner, due date, verification evidence, and closure date.</w:t>
      </w:r>
    </w:p>
    <w:p>
      <w:pPr>
        <w:pStyle w:val="ListBullet"/>
        <w:spacing w:after="80" w:line="269" w:lineRule="auto"/>
      </w:pPr>
      <w:r>
        <w:rPr>
          <w:rFonts w:ascii="Aptos" w:hAnsi="Aptos"/>
          <w:b w:val="0"/>
          <w:i w:val="0"/>
          <w:sz w:val="22"/>
        </w:rPr>
        <w:t>Jurisdiction differences live in metadata and packet rules, not in hardcoded UI forks.</w:t>
      </w:r>
    </w:p>
    <w:p>
      <w:pPr>
        <w:pStyle w:val="ListBullet"/>
        <w:spacing w:after="80" w:line="269" w:lineRule="auto"/>
      </w:pPr>
      <w:r>
        <w:rPr>
          <w:rFonts w:ascii="Aptos" w:hAnsi="Aptos"/>
          <w:b w:val="0"/>
          <w:i w:val="0"/>
          <w:sz w:val="22"/>
        </w:rPr>
        <w:t>Portal-native filings such as SMARTS actions must be modeled as lifecycle tasks with inputs, evidence, and state transitions, not assumed to be downloadable fillable forms.</w:t>
      </w:r>
    </w:p>
    <w:p>
      <w:pPr>
        <w:pStyle w:val="Heading1"/>
        <w:keepNext/>
        <w:spacing w:after="120" w:before="0" w:line="276" w:lineRule="auto"/>
      </w:pPr>
      <w:r>
        <w:rPr>
          <w:rFonts w:ascii="Aptos" w:hAnsi="Aptos"/>
          <w:b w:val="0"/>
          <w:i w:val="0"/>
          <w:sz w:val="22"/>
        </w:rPr>
        <w:t>Lifecycle architecture</w:t>
      </w:r>
    </w:p>
    <w:p>
      <w:pPr>
        <w:spacing w:after="120" w:before="0" w:line="276" w:lineRule="auto"/>
      </w:pPr>
      <w:r>
        <w:rPr>
          <w:rFonts w:ascii="Aptos" w:hAnsi="Aptos"/>
          <w:b w:val="0"/>
          <w:i w:val="0"/>
          <w:sz w:val="22"/>
        </w:rPr>
        <w:t>The upgraded logic should be implemented as program-specific state machines. This is most visible in SWPPP, but the same pattern also governs special inspections, dust control, asbestos, and hazmat modules.</w:t>
      </w:r>
    </w:p>
    <w:p>
      <w:pPr>
        <w:pStyle w:val="Heading2"/>
        <w:keepNext/>
        <w:spacing w:after="120" w:before="0" w:line="276" w:lineRule="auto"/>
      </w:pPr>
      <w:r>
        <w:rPr>
          <w:rFonts w:ascii="Aptos" w:hAnsi="Aptos"/>
          <w:b w:val="0"/>
          <w:i w:val="0"/>
          <w:sz w:val="22"/>
        </w:rPr>
        <w:t>SWPPP / CGP lifecycle baseline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64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Seq</w:t>
            </w:r>
          </w:p>
        </w:tc>
        <w:tc>
          <w:tcPr>
            <w:tcW w:type="dxa" w:w="237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Lifecycle stage</w:t>
            </w:r>
          </w:p>
        </w:tc>
        <w:tc>
          <w:tcPr>
            <w:tcW w:type="dxa" w:w="367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Required artifact class</w:t>
            </w:r>
          </w:p>
        </w:tc>
        <w:tc>
          <w:tcPr>
            <w:tcW w:type="dxa" w:w="288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Product behavior</w:t>
            </w:r>
          </w:p>
        </w:tc>
      </w:tr>
      <w:tr>
        <w:tc>
          <w:tcPr>
            <w:tcW w:type="dxa" w:w="648"/>
            <w:vAlign w:val="center"/>
            <w:tcMar>
              <w:top w:w="90" w:type="dxa"/>
              <w:start w:w="100" w:type="dxa"/>
              <w:bottom w:w="90" w:type="dxa"/>
              <w:end w:w="100" w:type="dxa"/>
            </w:tcMar>
          </w:tcPr>
          <w:p>
            <w:pPr>
              <w:spacing w:after="0" w:line="240" w:lineRule="auto"/>
              <w:jc w:val="center"/>
            </w:pPr>
            <w:r>
              <w:rPr>
                <w:rFonts w:ascii="Aptos" w:hAnsi="Aptos"/>
                <w:b w:val="0"/>
                <w:i w:val="0"/>
                <w:sz w:val="17"/>
              </w:rPr>
              <w:t>1</w:t>
            </w:r>
          </w:p>
        </w:tc>
        <w:tc>
          <w:tcPr>
            <w:tcW w:type="dxa" w:w="2376"/>
            <w:vAlign w:val="center"/>
            <w:tcMar>
              <w:top w:w="90" w:type="dxa"/>
              <w:start w:w="100" w:type="dxa"/>
              <w:bottom w:w="90" w:type="dxa"/>
              <w:end w:w="100" w:type="dxa"/>
            </w:tcMar>
          </w:tcPr>
          <w:p>
            <w:pPr>
              <w:spacing w:after="0" w:line="240" w:lineRule="auto"/>
              <w:jc w:val="left"/>
            </w:pPr>
            <w:r>
              <w:rPr>
                <w:rFonts w:ascii="Aptos" w:hAnsi="Aptos"/>
                <w:b w:val="0"/>
                <w:i w:val="0"/>
                <w:sz w:val="17"/>
              </w:rPr>
              <w:t>Enrollment / threshold gate</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7"/>
              </w:rPr>
              <w:t>Disturbance threshold, permit applicability, risk logic, project metadata</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Block SWPPP activation until gate resolved</w:t>
            </w:r>
          </w:p>
        </w:tc>
      </w:tr>
      <w:tr>
        <w:tc>
          <w:tcPr>
            <w:tcW w:type="dxa" w:w="64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2</w:t>
            </w:r>
          </w:p>
        </w:tc>
        <w:tc>
          <w:tcPr>
            <w:tcW w:type="dxa" w:w="23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PRD assembly</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Permit Registration Documents checklist, responsible parties, attachment completeness</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Create document-vault slots and required-attachment blockers</w:t>
            </w:r>
          </w:p>
        </w:tc>
      </w:tr>
      <w:tr>
        <w:tc>
          <w:tcPr>
            <w:tcW w:type="dxa" w:w="648"/>
            <w:vAlign w:val="center"/>
            <w:tcMar>
              <w:top w:w="90" w:type="dxa"/>
              <w:start w:w="100" w:type="dxa"/>
              <w:bottom w:w="90" w:type="dxa"/>
              <w:end w:w="100" w:type="dxa"/>
            </w:tcMar>
          </w:tcPr>
          <w:p>
            <w:pPr>
              <w:spacing w:after="0" w:line="240" w:lineRule="auto"/>
              <w:jc w:val="center"/>
            </w:pPr>
            <w:r>
              <w:rPr>
                <w:rFonts w:ascii="Aptos" w:hAnsi="Aptos"/>
                <w:b w:val="0"/>
                <w:i w:val="0"/>
                <w:sz w:val="17"/>
              </w:rPr>
              <w:t>3</w:t>
            </w:r>
          </w:p>
        </w:tc>
        <w:tc>
          <w:tcPr>
            <w:tcW w:type="dxa" w:w="2376"/>
            <w:vAlign w:val="center"/>
            <w:tcMar>
              <w:top w:w="90" w:type="dxa"/>
              <w:start w:w="100" w:type="dxa"/>
              <w:bottom w:w="90" w:type="dxa"/>
              <w:end w:w="100" w:type="dxa"/>
            </w:tcMar>
          </w:tcPr>
          <w:p>
            <w:pPr>
              <w:spacing w:after="0" w:line="240" w:lineRule="auto"/>
              <w:jc w:val="left"/>
            </w:pPr>
            <w:r>
              <w:rPr>
                <w:rFonts w:ascii="Aptos" w:hAnsi="Aptos"/>
                <w:b w:val="0"/>
                <w:i w:val="0"/>
                <w:sz w:val="17"/>
              </w:rPr>
              <w:t>NOI readiness / signer path</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7"/>
              </w:rPr>
              <w:t>NOI data completeness, eAuthorization, certification path</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Submission blocker until signer controls are complete</w:t>
            </w:r>
          </w:p>
        </w:tc>
      </w:tr>
      <w:tr>
        <w:tc>
          <w:tcPr>
            <w:tcW w:type="dxa" w:w="64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4</w:t>
            </w:r>
          </w:p>
        </w:tc>
        <w:tc>
          <w:tcPr>
            <w:tcW w:type="dxa" w:w="23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Field opening conditions</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WDID posting, SWPPP onsite availability, contacts, training roster</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First active compliance inspection captures opening confirmations</w:t>
            </w:r>
          </w:p>
        </w:tc>
      </w:tr>
      <w:tr>
        <w:tc>
          <w:tcPr>
            <w:tcW w:type="dxa" w:w="648"/>
            <w:vAlign w:val="center"/>
            <w:tcMar>
              <w:top w:w="90" w:type="dxa"/>
              <w:start w:w="100" w:type="dxa"/>
              <w:bottom w:w="90" w:type="dxa"/>
              <w:end w:w="100" w:type="dxa"/>
            </w:tcMar>
          </w:tcPr>
          <w:p>
            <w:pPr>
              <w:spacing w:after="0" w:line="240" w:lineRule="auto"/>
              <w:jc w:val="center"/>
            </w:pPr>
            <w:r>
              <w:rPr>
                <w:rFonts w:ascii="Aptos" w:hAnsi="Aptos"/>
                <w:b w:val="0"/>
                <w:i w:val="0"/>
                <w:sz w:val="17"/>
              </w:rPr>
              <w:t>5</w:t>
            </w:r>
          </w:p>
        </w:tc>
        <w:tc>
          <w:tcPr>
            <w:tcW w:type="dxa" w:w="2376"/>
            <w:vAlign w:val="center"/>
            <w:tcMar>
              <w:top w:w="90" w:type="dxa"/>
              <w:start w:w="100" w:type="dxa"/>
              <w:bottom w:w="90" w:type="dxa"/>
              <w:end w:w="100" w:type="dxa"/>
            </w:tcMar>
          </w:tcPr>
          <w:p>
            <w:pPr>
              <w:spacing w:after="0" w:line="240" w:lineRule="auto"/>
              <w:jc w:val="left"/>
            </w:pPr>
            <w:r>
              <w:rPr>
                <w:rFonts w:ascii="Aptos" w:hAnsi="Aptos"/>
                <w:b w:val="0"/>
                <w:i w:val="0"/>
                <w:sz w:val="17"/>
              </w:rPr>
              <w:t>Routine inspections</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7"/>
              </w:rPr>
              <w:t>Weekly / standard inspection forms, BMP condition, deficiencies, photos</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Recurring inspections + issue engine</w:t>
            </w:r>
          </w:p>
        </w:tc>
      </w:tr>
      <w:tr>
        <w:tc>
          <w:tcPr>
            <w:tcW w:type="dxa" w:w="64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6</w:t>
            </w:r>
          </w:p>
        </w:tc>
        <w:tc>
          <w:tcPr>
            <w:tcW w:type="dxa" w:w="23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Rain-event inspections</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Pre-QPE, during-QPE, post-QPE packets with forecast metadata</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Forecast-aware scheduling and evidence prompts</w:t>
            </w:r>
          </w:p>
        </w:tc>
      </w:tr>
      <w:tr>
        <w:tc>
          <w:tcPr>
            <w:tcW w:type="dxa" w:w="648"/>
            <w:vAlign w:val="center"/>
            <w:tcMar>
              <w:top w:w="90" w:type="dxa"/>
              <w:start w:w="100" w:type="dxa"/>
              <w:bottom w:w="90" w:type="dxa"/>
              <w:end w:w="100" w:type="dxa"/>
            </w:tcMar>
          </w:tcPr>
          <w:p>
            <w:pPr>
              <w:spacing w:after="0" w:line="240" w:lineRule="auto"/>
              <w:jc w:val="center"/>
            </w:pPr>
            <w:r>
              <w:rPr>
                <w:rFonts w:ascii="Aptos" w:hAnsi="Aptos"/>
                <w:b w:val="0"/>
                <w:i w:val="0"/>
                <w:sz w:val="17"/>
              </w:rPr>
              <w:t>7</w:t>
            </w:r>
          </w:p>
        </w:tc>
        <w:tc>
          <w:tcPr>
            <w:tcW w:type="dxa" w:w="2376"/>
            <w:vAlign w:val="center"/>
            <w:tcMar>
              <w:top w:w="90" w:type="dxa"/>
              <w:start w:w="100" w:type="dxa"/>
              <w:bottom w:w="90" w:type="dxa"/>
              <w:end w:w="100" w:type="dxa"/>
            </w:tcMar>
          </w:tcPr>
          <w:p>
            <w:pPr>
              <w:spacing w:after="0" w:line="240" w:lineRule="auto"/>
              <w:jc w:val="left"/>
            </w:pPr>
            <w:r>
              <w:rPr>
                <w:rFonts w:ascii="Aptos" w:hAnsi="Aptos"/>
                <w:b w:val="0"/>
                <w:i w:val="0"/>
                <w:sz w:val="17"/>
              </w:rPr>
              <w:t>Corrective action timing</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7"/>
              </w:rPr>
              <w:t>Deficiency logging, due dates, closure evidence, verification</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Issue engine + overdue controls</w:t>
            </w:r>
          </w:p>
        </w:tc>
      </w:tr>
      <w:tr>
        <w:tc>
          <w:tcPr>
            <w:tcW w:type="dxa" w:w="64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8</w:t>
            </w:r>
          </w:p>
        </w:tc>
        <w:tc>
          <w:tcPr>
            <w:tcW w:type="dxa" w:w="23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Annual reporting</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Annual summary readiness and attachments</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Separate year-end task queue</w:t>
            </w:r>
          </w:p>
        </w:tc>
      </w:tr>
      <w:tr>
        <w:tc>
          <w:tcPr>
            <w:tcW w:type="dxa" w:w="648"/>
            <w:vAlign w:val="center"/>
            <w:tcMar>
              <w:top w:w="90" w:type="dxa"/>
              <w:start w:w="100" w:type="dxa"/>
              <w:bottom w:w="90" w:type="dxa"/>
              <w:end w:w="100" w:type="dxa"/>
            </w:tcMar>
          </w:tcPr>
          <w:p>
            <w:pPr>
              <w:spacing w:after="0" w:line="240" w:lineRule="auto"/>
              <w:jc w:val="center"/>
            </w:pPr>
            <w:r>
              <w:rPr>
                <w:rFonts w:ascii="Aptos" w:hAnsi="Aptos"/>
                <w:b w:val="0"/>
                <w:i w:val="0"/>
                <w:sz w:val="17"/>
              </w:rPr>
              <w:t>9</w:t>
            </w:r>
          </w:p>
        </w:tc>
        <w:tc>
          <w:tcPr>
            <w:tcW w:type="dxa" w:w="2376"/>
            <w:vAlign w:val="center"/>
            <w:tcMar>
              <w:top w:w="90" w:type="dxa"/>
              <w:start w:w="100" w:type="dxa"/>
              <w:bottom w:w="90" w:type="dxa"/>
              <w:end w:w="100" w:type="dxa"/>
            </w:tcMar>
          </w:tcPr>
          <w:p>
            <w:pPr>
              <w:spacing w:after="0" w:line="240" w:lineRule="auto"/>
              <w:jc w:val="left"/>
            </w:pPr>
            <w:r>
              <w:rPr>
                <w:rFonts w:ascii="Aptos" w:hAnsi="Aptos"/>
                <w:b w:val="0"/>
                <w:i w:val="0"/>
                <w:sz w:val="17"/>
              </w:rPr>
              <w:t>NOT closeout</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7"/>
              </w:rPr>
              <w:t>Final stabilization review, termination readiness, closeout packet</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Project closeout blocker until satisfied</w:t>
            </w:r>
          </w:p>
        </w:tc>
      </w:tr>
    </w:tbl>
    <w:p>
      <w:pPr>
        <w:spacing w:after="120" w:before="0" w:line="276" w:lineRule="auto"/>
      </w:pPr>
    </w:p>
    <w:p>
      <w:pPr>
        <w:pStyle w:val="Heading2"/>
        <w:keepNext/>
        <w:spacing w:after="120" w:before="0" w:line="276" w:lineRule="auto"/>
      </w:pPr>
      <w:r>
        <w:rPr>
          <w:rFonts w:ascii="Aptos" w:hAnsi="Aptos"/>
          <w:b w:val="0"/>
          <w:i w:val="0"/>
          <w:sz w:val="22"/>
        </w:rPr>
        <w:t>Special inspections lifecycle</w:t>
      </w:r>
    </w:p>
    <w:p>
      <w:pPr>
        <w:pStyle w:val="Heading2"/>
        <w:keepNext/>
        <w:spacing w:after="120" w:before="0" w:line="276" w:lineRule="auto"/>
      </w:pPr>
      <w:r>
        <w:rPr>
          <w:rFonts w:ascii="Aptos" w:hAnsi="Aptos"/>
          <w:b w:val="0"/>
          <w:i w:val="0"/>
          <w:sz w:val="22"/>
        </w:rPr>
        <w:t>Special inspections packet 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36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Stage</w:t>
            </w:r>
          </w:p>
        </w:tc>
        <w:tc>
          <w:tcPr>
            <w:tcW w:type="dxa" w:w="345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Packet component</w:t>
            </w:r>
          </w:p>
        </w:tc>
        <w:tc>
          <w:tcPr>
            <w:tcW w:type="dxa" w:w="288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Why it matters</w:t>
            </w:r>
          </w:p>
        </w:tc>
        <w:tc>
          <w:tcPr>
            <w:tcW w:type="dxa" w:w="223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Product behavior</w:t>
            </w:r>
          </w:p>
        </w:tc>
      </w:tr>
      <w:tr>
        <w:tc>
          <w:tcPr>
            <w:tcW w:type="dxa" w:w="1368"/>
            <w:vAlign w:val="center"/>
            <w:tcMar>
              <w:top w:w="90" w:type="dxa"/>
              <w:start w:w="100" w:type="dxa"/>
              <w:bottom w:w="90" w:type="dxa"/>
              <w:end w:w="100" w:type="dxa"/>
            </w:tcMar>
          </w:tcPr>
          <w:p>
            <w:pPr>
              <w:spacing w:after="0" w:line="240" w:lineRule="auto"/>
              <w:jc w:val="center"/>
            </w:pPr>
            <w:r>
              <w:rPr>
                <w:rFonts w:ascii="Aptos" w:hAnsi="Aptos"/>
                <w:b w:val="0"/>
                <w:i w:val="0"/>
                <w:sz w:val="17"/>
              </w:rPr>
              <w:t>Pre-permit</w:t>
            </w:r>
          </w:p>
        </w:tc>
        <w:tc>
          <w:tcPr>
            <w:tcW w:type="dxa" w:w="3456"/>
            <w:vAlign w:val="center"/>
            <w:tcMar>
              <w:top w:w="90" w:type="dxa"/>
              <w:start w:w="100" w:type="dxa"/>
              <w:bottom w:w="90" w:type="dxa"/>
              <w:end w:w="100" w:type="dxa"/>
            </w:tcMar>
          </w:tcPr>
          <w:p>
            <w:pPr>
              <w:spacing w:after="0" w:line="240" w:lineRule="auto"/>
              <w:jc w:val="left"/>
            </w:pPr>
            <w:r>
              <w:rPr>
                <w:rFonts w:ascii="Aptos" w:hAnsi="Aptos"/>
                <w:b w:val="0"/>
                <w:i w:val="0"/>
                <w:sz w:val="17"/>
              </w:rPr>
              <w:t>Statement / agreement / schedule + agency-recognition check</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Jurisdiction-specific intake differs by county and city</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7"/>
              </w:rPr>
              <w:t>County or city packet builder</w:t>
            </w:r>
          </w:p>
        </w:tc>
      </w:tr>
      <w:tr>
        <w:tc>
          <w:tcPr>
            <w:tcW w:type="dxa" w:w="136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Construction</w:t>
            </w:r>
          </w:p>
        </w:tc>
        <w:tc>
          <w:tcPr>
            <w:tcW w:type="dxa" w:w="345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Weekly / periodic reports, nonconformance log, distribution tracking</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Recurring reporting duties and escalation trail</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Task generation and overdue tracking</w:t>
            </w:r>
          </w:p>
        </w:tc>
      </w:tr>
      <w:tr>
        <w:tc>
          <w:tcPr>
            <w:tcW w:type="dxa" w:w="1368"/>
            <w:vAlign w:val="center"/>
            <w:tcMar>
              <w:top w:w="90" w:type="dxa"/>
              <w:start w:w="100" w:type="dxa"/>
              <w:bottom w:w="90" w:type="dxa"/>
              <w:end w:w="100" w:type="dxa"/>
            </w:tcMar>
          </w:tcPr>
          <w:p>
            <w:pPr>
              <w:spacing w:after="0" w:line="240" w:lineRule="auto"/>
              <w:jc w:val="center"/>
            </w:pPr>
            <w:r>
              <w:rPr>
                <w:rFonts w:ascii="Aptos" w:hAnsi="Aptos"/>
                <w:b w:val="0"/>
                <w:i w:val="0"/>
                <w:sz w:val="17"/>
              </w:rPr>
              <w:t>Escalation</w:t>
            </w:r>
          </w:p>
        </w:tc>
        <w:tc>
          <w:tcPr>
            <w:tcW w:type="dxa" w:w="3456"/>
            <w:vAlign w:val="center"/>
            <w:tcMar>
              <w:top w:w="90" w:type="dxa"/>
              <w:start w:w="100" w:type="dxa"/>
              <w:bottom w:w="90" w:type="dxa"/>
              <w:end w:w="100" w:type="dxa"/>
            </w:tcMar>
          </w:tcPr>
          <w:p>
            <w:pPr>
              <w:spacing w:after="0" w:line="240" w:lineRule="auto"/>
              <w:jc w:val="left"/>
            </w:pPr>
            <w:r>
              <w:rPr>
                <w:rFonts w:ascii="Aptos" w:hAnsi="Aptos"/>
                <w:b w:val="0"/>
                <w:i w:val="0"/>
                <w:sz w:val="17"/>
              </w:rPr>
              <w:t>COI attestation, amended schedules, unusual condition routing</w:t>
            </w:r>
          </w:p>
        </w:tc>
        <w:tc>
          <w:tcPr>
            <w:tcW w:type="dxa" w:w="2880"/>
            <w:vAlign w:val="center"/>
            <w:tcMar>
              <w:top w:w="90" w:type="dxa"/>
              <w:start w:w="100" w:type="dxa"/>
              <w:bottom w:w="90" w:type="dxa"/>
              <w:end w:w="100" w:type="dxa"/>
            </w:tcMar>
          </w:tcPr>
          <w:p>
            <w:pPr>
              <w:spacing w:after="0" w:line="240" w:lineRule="auto"/>
              <w:jc w:val="left"/>
            </w:pPr>
            <w:r>
              <w:rPr>
                <w:rFonts w:ascii="Aptos" w:hAnsi="Aptos"/>
                <w:b w:val="0"/>
                <w:i w:val="0"/>
                <w:sz w:val="17"/>
              </w:rPr>
              <w:t>Some jurisdictions require report language or amended packets</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7"/>
              </w:rPr>
              <w:t>Amendment workflow</w:t>
            </w:r>
          </w:p>
        </w:tc>
      </w:tr>
      <w:tr>
        <w:tc>
          <w:tcPr>
            <w:tcW w:type="dxa" w:w="1368"/>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Closeout</w:t>
            </w:r>
          </w:p>
        </w:tc>
        <w:tc>
          <w:tcPr>
            <w:tcW w:type="dxa" w:w="345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Final report, structural observation confirmation, unresolved item sweep</w:t>
            </w:r>
          </w:p>
        </w:tc>
        <w:tc>
          <w:tcPr>
            <w:tcW w:type="dxa" w:w="288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Needed for occupancy / final support</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Final compliance packet</w:t>
            </w:r>
          </w:p>
        </w:tc>
      </w:tr>
    </w:tbl>
    <w:p>
      <w:pPr>
        <w:spacing w:after="120" w:before="0" w:line="276" w:lineRule="auto"/>
      </w:pPr>
    </w:p>
    <w:p>
      <w:pPr>
        <w:pStyle w:val="Heading1"/>
        <w:keepNext/>
        <w:spacing w:after="120" w:before="0" w:line="276" w:lineRule="auto"/>
      </w:pPr>
      <w:r>
        <w:rPr>
          <w:rFonts w:ascii="Aptos" w:hAnsi="Aptos"/>
          <w:b w:val="0"/>
          <w:i w:val="0"/>
          <w:sz w:val="22"/>
        </w:rPr>
        <w:t>Jurisdiction model and verification logic</w:t>
      </w:r>
    </w:p>
    <w:p>
      <w:pPr>
        <w:spacing w:after="120" w:before="0" w:line="276" w:lineRule="auto"/>
      </w:pPr>
      <w:r>
        <w:rPr>
          <w:rFonts w:ascii="Aptos" w:hAnsi="Aptos"/>
          <w:b w:val="0"/>
          <w:i w:val="0"/>
          <w:sz w:val="22"/>
        </w:rPr>
        <w:t>The county index should now be treated as a runtime rule table instead of a static library. That means each jurisdiction record can carry direct cover forms, trigger-only sources, approved-agency lists, scheduling notes, process notes, or ambiguity markers without pretending they are equivalent.</w:t>
      </w:r>
    </w:p>
    <w:p>
      <w:pPr>
        <w:pStyle w:val="Heading2"/>
        <w:keepNext/>
        <w:spacing w:after="120" w:before="0" w:line="276" w:lineRule="auto"/>
      </w:pPr>
      <w:r>
        <w:rPr>
          <w:rFonts w:ascii="Aptos" w:hAnsi="Aptos"/>
          <w:b w:val="0"/>
          <w:i w:val="0"/>
          <w:sz w:val="22"/>
        </w:rPr>
        <w:t>Verification status model</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Status</w:t>
            </w:r>
          </w:p>
        </w:tc>
        <w:tc>
          <w:tcPr>
            <w:tcW w:type="dxa" w:w="374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Meaning</w:t>
            </w:r>
          </w:p>
        </w:tc>
        <w:tc>
          <w:tcPr>
            <w:tcW w:type="dxa" w:w="388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8"/>
              </w:rPr>
              <w:t>Allowed behavior</w:t>
            </w:r>
          </w:p>
        </w:tc>
      </w:tr>
      <w:tr>
        <w:tc>
          <w:tcPr>
            <w:tcW w:type="dxa" w:w="1800"/>
            <w:vAlign w:val="center"/>
            <w:tcMar>
              <w:top w:w="90" w:type="dxa"/>
              <w:start w:w="100" w:type="dxa"/>
              <w:bottom w:w="90" w:type="dxa"/>
              <w:end w:w="100" w:type="dxa"/>
            </w:tcMar>
          </w:tcPr>
          <w:p>
            <w:pPr>
              <w:spacing w:after="0" w:line="240" w:lineRule="auto"/>
              <w:jc w:val="center"/>
            </w:pPr>
            <w:r>
              <w:rPr>
                <w:rFonts w:ascii="Aptos" w:hAnsi="Aptos"/>
                <w:b w:val="0"/>
                <w:i w:val="0"/>
                <w:sz w:val="18"/>
              </w:rPr>
              <w:t>verified-direct</w:t>
            </w:r>
          </w:p>
        </w:tc>
        <w:tc>
          <w:tcPr>
            <w:tcW w:type="dxa" w:w="3744"/>
            <w:vAlign w:val="center"/>
            <w:tcMar>
              <w:top w:w="90" w:type="dxa"/>
              <w:start w:w="100" w:type="dxa"/>
              <w:bottom w:w="90" w:type="dxa"/>
              <w:end w:w="100" w:type="dxa"/>
            </w:tcMar>
          </w:tcPr>
          <w:p>
            <w:pPr>
              <w:spacing w:after="0" w:line="240" w:lineRule="auto"/>
              <w:jc w:val="left"/>
            </w:pPr>
            <w:r>
              <w:rPr>
                <w:rFonts w:ascii="Aptos" w:hAnsi="Aptos"/>
                <w:b w:val="0"/>
                <w:i w:val="0"/>
                <w:sz w:val="18"/>
              </w:rPr>
              <w:t>Direct official source captured and URL verified</w:t>
            </w:r>
          </w:p>
        </w:tc>
        <w:tc>
          <w:tcPr>
            <w:tcW w:type="dxa" w:w="3888"/>
            <w:vAlign w:val="center"/>
            <w:tcMar>
              <w:top w:w="90" w:type="dxa"/>
              <w:start w:w="100" w:type="dxa"/>
              <w:bottom w:w="90" w:type="dxa"/>
              <w:end w:w="100" w:type="dxa"/>
            </w:tcMar>
          </w:tcPr>
          <w:p>
            <w:pPr>
              <w:spacing w:after="0" w:line="240" w:lineRule="auto"/>
              <w:jc w:val="left"/>
            </w:pPr>
            <w:r>
              <w:rPr>
                <w:rFonts w:ascii="Aptos" w:hAnsi="Aptos"/>
                <w:b w:val="0"/>
                <w:i w:val="0"/>
                <w:sz w:val="18"/>
              </w:rPr>
              <w:t>Use normally in packet builder and admin library</w:t>
            </w:r>
          </w:p>
        </w:tc>
      </w:tr>
      <w:tr>
        <w:tc>
          <w:tcPr>
            <w:tcW w:type="dxa" w:w="1800"/>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verified-indirect</w:t>
            </w:r>
          </w:p>
        </w:tc>
        <w:tc>
          <w:tcPr>
            <w:tcW w:type="dxa" w:w="374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Official source verified but not a dedicated packet cover form</w:t>
            </w:r>
          </w:p>
        </w:tc>
        <w:tc>
          <w:tcPr>
            <w:tcW w:type="dxa" w:w="3888"/>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Use as trigger / control source; do not label as standalone cover form</w:t>
            </w:r>
          </w:p>
        </w:tc>
      </w:tr>
      <w:tr>
        <w:tc>
          <w:tcPr>
            <w:tcW w:type="dxa" w:w="1800"/>
            <w:vAlign w:val="center"/>
            <w:tcMar>
              <w:top w:w="90" w:type="dxa"/>
              <w:start w:w="100" w:type="dxa"/>
              <w:bottom w:w="90" w:type="dxa"/>
              <w:end w:w="100" w:type="dxa"/>
            </w:tcMar>
          </w:tcPr>
          <w:p>
            <w:pPr>
              <w:spacing w:after="0" w:line="240" w:lineRule="auto"/>
              <w:jc w:val="center"/>
            </w:pPr>
            <w:r>
              <w:rPr>
                <w:rFonts w:ascii="Aptos" w:hAnsi="Aptos"/>
                <w:b w:val="0"/>
                <w:i w:val="0"/>
                <w:sz w:val="18"/>
              </w:rPr>
              <w:t>inferred-direct</w:t>
            </w:r>
          </w:p>
        </w:tc>
        <w:tc>
          <w:tcPr>
            <w:tcW w:type="dxa" w:w="3744"/>
            <w:vAlign w:val="center"/>
            <w:tcMar>
              <w:top w:w="90" w:type="dxa"/>
              <w:start w:w="100" w:type="dxa"/>
              <w:bottom w:w="90" w:type="dxa"/>
              <w:end w:w="100" w:type="dxa"/>
            </w:tcMar>
          </w:tcPr>
          <w:p>
            <w:pPr>
              <w:spacing w:after="0" w:line="240" w:lineRule="auto"/>
              <w:jc w:val="left"/>
            </w:pPr>
            <w:r>
              <w:rPr>
                <w:rFonts w:ascii="Aptos" w:hAnsi="Aptos"/>
                <w:b w:val="0"/>
                <w:i w:val="0"/>
                <w:sz w:val="18"/>
              </w:rPr>
              <w:t>Likely direct file URL derived from official forms system but not yet re-verified</w:t>
            </w:r>
          </w:p>
        </w:tc>
        <w:tc>
          <w:tcPr>
            <w:tcW w:type="dxa" w:w="3888"/>
            <w:vAlign w:val="center"/>
            <w:tcMar>
              <w:top w:w="90" w:type="dxa"/>
              <w:start w:w="100" w:type="dxa"/>
              <w:bottom w:w="90" w:type="dxa"/>
              <w:end w:w="100" w:type="dxa"/>
            </w:tcMar>
          </w:tcPr>
          <w:p>
            <w:pPr>
              <w:spacing w:after="0" w:line="240" w:lineRule="auto"/>
              <w:jc w:val="left"/>
            </w:pPr>
            <w:r>
              <w:rPr>
                <w:rFonts w:ascii="Aptos" w:hAnsi="Aptos"/>
                <w:b w:val="0"/>
                <w:i w:val="0"/>
                <w:sz w:val="18"/>
              </w:rPr>
              <w:t>Show caution badge and schedule recrawl</w:t>
            </w:r>
          </w:p>
        </w:tc>
      </w:tr>
      <w:tr>
        <w:tc>
          <w:tcPr>
            <w:tcW w:type="dxa" w:w="1800"/>
            <w:vAlign w:val="center"/>
            <w:tcMar>
              <w:top w:w="90" w:type="dxa"/>
              <w:start w:w="100" w:type="dxa"/>
              <w:bottom w:w="90" w:type="dxa"/>
              <w:end w:w="100" w:type="dxa"/>
            </w:tcMar>
            <w:shd w:fill="F8FBFD"/>
          </w:tcPr>
          <w:p>
            <w:pPr>
              <w:spacing w:after="0" w:line="240" w:lineRule="auto"/>
              <w:jc w:val="center"/>
            </w:pPr>
            <w:r>
              <w:rPr>
                <w:rFonts w:ascii="Aptos" w:hAnsi="Aptos"/>
                <w:b w:val="0"/>
                <w:i w:val="0"/>
                <w:sz w:val="18"/>
              </w:rPr>
              <w:t>gap-note</w:t>
            </w:r>
          </w:p>
        </w:tc>
        <w:tc>
          <w:tcPr>
            <w:tcW w:type="dxa" w:w="3744"/>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Placeholder used to avoid silent assumptions</w:t>
            </w:r>
          </w:p>
        </w:tc>
        <w:tc>
          <w:tcPr>
            <w:tcW w:type="dxa" w:w="3888"/>
            <w:vAlign w:val="center"/>
            <w:tcMar>
              <w:top w:w="90" w:type="dxa"/>
              <w:start w:w="100" w:type="dxa"/>
              <w:bottom w:w="90" w:type="dxa"/>
              <w:end w:w="100" w:type="dxa"/>
            </w:tcMar>
            <w:shd w:fill="F8FBFD"/>
          </w:tcPr>
          <w:p>
            <w:pPr>
              <w:spacing w:after="0" w:line="240" w:lineRule="auto"/>
              <w:jc w:val="left"/>
            </w:pPr>
            <w:r>
              <w:rPr>
                <w:rFonts w:ascii="Aptos" w:hAnsi="Aptos"/>
                <w:b w:val="0"/>
                <w:i w:val="0"/>
                <w:sz w:val="18"/>
              </w:rPr>
              <w:t>Keep visible until a stronger source is found</w:t>
            </w:r>
          </w:p>
        </w:tc>
      </w:tr>
    </w:tbl>
    <w:p>
      <w:pPr>
        <w:spacing w:after="120" w:before="0" w:line="276" w:lineRule="auto"/>
      </w:pPr>
    </w:p>
    <w:p>
      <w:pPr>
        <w:pStyle w:val="Heading2"/>
        <w:keepNext/>
        <w:spacing w:after="120" w:before="0" w:line="276" w:lineRule="auto"/>
      </w:pPr>
      <w:r>
        <w:rPr>
          <w:rFonts w:ascii="Aptos" w:hAnsi="Aptos"/>
          <w:b w:val="0"/>
          <w:i w:val="0"/>
          <w:sz w:val="22"/>
        </w:rPr>
        <w:t>County coverage snapshot after the next pass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6"/>
              </w:rPr>
              <w:t>County</w:t>
            </w:r>
          </w:p>
        </w:tc>
        <w:tc>
          <w:tcPr>
            <w:tcW w:type="dxa" w:w="367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6"/>
              </w:rPr>
              <w:t>Special-inspection anchor set</w:t>
            </w:r>
          </w:p>
        </w:tc>
        <w:tc>
          <w:tcPr>
            <w:tcW w:type="dxa" w:w="302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6"/>
              </w:rPr>
              <w:t>Trade-scheduling anchor set</w:t>
            </w:r>
          </w:p>
        </w:tc>
        <w:tc>
          <w:tcPr>
            <w:tcW w:type="dxa" w:w="223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6"/>
              </w:rPr>
              <w:t>Current note</w:t>
            </w:r>
          </w:p>
        </w:tc>
      </w:tr>
      <w:tr>
        <w:tc>
          <w:tcPr>
            <w:tcW w:type="dxa" w:w="1440"/>
            <w:vAlign w:val="center"/>
            <w:tcMar>
              <w:top w:w="90" w:type="dxa"/>
              <w:start w:w="100" w:type="dxa"/>
              <w:bottom w:w="90" w:type="dxa"/>
              <w:end w:w="100" w:type="dxa"/>
            </w:tcMar>
          </w:tcPr>
          <w:p>
            <w:pPr>
              <w:spacing w:after="0" w:line="240" w:lineRule="auto"/>
              <w:jc w:val="center"/>
            </w:pPr>
            <w:r>
              <w:rPr>
                <w:rFonts w:ascii="Aptos" w:hAnsi="Aptos"/>
                <w:b w:val="0"/>
                <w:i w:val="0"/>
                <w:sz w:val="16"/>
              </w:rPr>
              <w:t>Alameda</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6"/>
              </w:rPr>
              <w:t>Oakland process + recognized agencies</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6"/>
              </w:rPr>
              <w:t>Alameda county requirements + Oakland scheduling guides</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6"/>
              </w:rPr>
              <w:t>County/city coverage already direct</w:t>
            </w:r>
          </w:p>
        </w:tc>
      </w:tr>
      <w:tr>
        <w:tc>
          <w:tcPr>
            <w:tcW w:type="dxa" w:w="1440"/>
            <w:vAlign w:val="center"/>
            <w:tcMar>
              <w:top w:w="90" w:type="dxa"/>
              <w:start w:w="100" w:type="dxa"/>
              <w:bottom w:w="90" w:type="dxa"/>
              <w:end w:w="100" w:type="dxa"/>
            </w:tcMar>
            <w:shd w:fill="F8FBFD"/>
          </w:tcPr>
          <w:p>
            <w:pPr>
              <w:spacing w:after="0" w:line="240" w:lineRule="auto"/>
              <w:jc w:val="center"/>
            </w:pPr>
            <w:r>
              <w:rPr>
                <w:rFonts w:ascii="Aptos" w:hAnsi="Aptos"/>
                <w:b w:val="0"/>
                <w:i w:val="0"/>
                <w:sz w:val="16"/>
              </w:rPr>
              <w:t>Contra Costa</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special-inspections page + recognized agencies + Walnut Creek packet</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scheduling page + codes list + Walnut Creek request page</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trigger and recognition control are direct; countywide cover form still unresolved</w:t>
            </w:r>
          </w:p>
        </w:tc>
      </w:tr>
      <w:tr>
        <w:tc>
          <w:tcPr>
            <w:tcW w:type="dxa" w:w="1440"/>
            <w:vAlign w:val="center"/>
            <w:tcMar>
              <w:top w:w="90" w:type="dxa"/>
              <w:start w:w="100" w:type="dxa"/>
              <w:bottom w:w="90" w:type="dxa"/>
              <w:end w:w="100" w:type="dxa"/>
            </w:tcMar>
          </w:tcPr>
          <w:p>
            <w:pPr>
              <w:spacing w:after="0" w:line="240" w:lineRule="auto"/>
              <w:jc w:val="center"/>
            </w:pPr>
            <w:r>
              <w:rPr>
                <w:rFonts w:ascii="Aptos" w:hAnsi="Aptos"/>
                <w:b w:val="0"/>
                <w:i w:val="0"/>
                <w:sz w:val="16"/>
              </w:rPr>
              <w:t>Marin</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6"/>
              </w:rPr>
              <w:t>County building-permit checklist + San Rafael form</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6"/>
              </w:rPr>
              <w:t>County schedule / instructions + San Rafael code card</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6"/>
              </w:rPr>
              <w:t>County trigger direct; standalone county cover form still unresolved</w:t>
            </w:r>
          </w:p>
        </w:tc>
      </w:tr>
      <w:tr>
        <w:tc>
          <w:tcPr>
            <w:tcW w:type="dxa" w:w="1440"/>
            <w:vAlign w:val="center"/>
            <w:tcMar>
              <w:top w:w="90" w:type="dxa"/>
              <w:start w:w="100" w:type="dxa"/>
              <w:bottom w:w="90" w:type="dxa"/>
              <w:end w:w="100" w:type="dxa"/>
            </w:tcMar>
            <w:shd w:fill="F8FBFD"/>
          </w:tcPr>
          <w:p>
            <w:pPr>
              <w:spacing w:after="0" w:line="240" w:lineRule="auto"/>
              <w:jc w:val="center"/>
            </w:pPr>
            <w:r>
              <w:rPr>
                <w:rFonts w:ascii="Aptos" w:hAnsi="Aptos"/>
                <w:b w:val="0"/>
                <w:i w:val="0"/>
                <w:sz w:val="16"/>
              </w:rPr>
              <w:t>Napa</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Napa County packet + City of Napa packet</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Napa scheduling guides</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Direct</w:t>
            </w:r>
          </w:p>
        </w:tc>
      </w:tr>
      <w:tr>
        <w:tc>
          <w:tcPr>
            <w:tcW w:type="dxa" w:w="1440"/>
            <w:vAlign w:val="center"/>
            <w:tcMar>
              <w:top w:w="90" w:type="dxa"/>
              <w:start w:w="100" w:type="dxa"/>
              <w:bottom w:w="90" w:type="dxa"/>
              <w:end w:w="100" w:type="dxa"/>
            </w:tcMar>
          </w:tcPr>
          <w:p>
            <w:pPr>
              <w:spacing w:after="0" w:line="240" w:lineRule="auto"/>
              <w:jc w:val="center"/>
            </w:pPr>
            <w:r>
              <w:rPr>
                <w:rFonts w:ascii="Aptos" w:hAnsi="Aptos"/>
                <w:b w:val="0"/>
                <w:i w:val="0"/>
                <w:sz w:val="16"/>
              </w:rPr>
              <w:t>San Francisco</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6"/>
              </w:rPr>
              <w:t>DBI process + cover form + COI attestation rule</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6"/>
              </w:rPr>
              <w:t>DBI scheduling page</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6"/>
              </w:rPr>
              <w:t>Direct</w:t>
            </w:r>
          </w:p>
        </w:tc>
      </w:tr>
      <w:tr>
        <w:tc>
          <w:tcPr>
            <w:tcW w:type="dxa" w:w="1440"/>
            <w:vAlign w:val="center"/>
            <w:tcMar>
              <w:top w:w="90" w:type="dxa"/>
              <w:start w:w="100" w:type="dxa"/>
              <w:bottom w:w="90" w:type="dxa"/>
              <w:end w:w="100" w:type="dxa"/>
            </w:tcMar>
            <w:shd w:fill="F8FBFD"/>
          </w:tcPr>
          <w:p>
            <w:pPr>
              <w:spacing w:after="0" w:line="240" w:lineRule="auto"/>
              <w:jc w:val="center"/>
            </w:pPr>
            <w:r>
              <w:rPr>
                <w:rFonts w:ascii="Aptos" w:hAnsi="Aptos"/>
                <w:b w:val="0"/>
                <w:i w:val="0"/>
                <w:sz w:val="16"/>
              </w:rPr>
              <w:t>San Mateo</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form + agencies list + program page</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No county trade scheduling PDF in current pack</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Direct for special inspections only</w:t>
            </w:r>
          </w:p>
        </w:tc>
      </w:tr>
      <w:tr>
        <w:tc>
          <w:tcPr>
            <w:tcW w:type="dxa" w:w="1440"/>
            <w:vAlign w:val="center"/>
            <w:tcMar>
              <w:top w:w="90" w:type="dxa"/>
              <w:start w:w="100" w:type="dxa"/>
              <w:bottom w:w="90" w:type="dxa"/>
              <w:end w:w="100" w:type="dxa"/>
            </w:tcMar>
          </w:tcPr>
          <w:p>
            <w:pPr>
              <w:spacing w:after="0" w:line="240" w:lineRule="auto"/>
              <w:jc w:val="center"/>
            </w:pPr>
            <w:r>
              <w:rPr>
                <w:rFonts w:ascii="Aptos" w:hAnsi="Aptos"/>
                <w:b w:val="0"/>
                <w:i w:val="0"/>
                <w:sz w:val="16"/>
              </w:rPr>
              <w:t>Santa Clara</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6"/>
              </w:rPr>
              <w:t>County short/long forms + San José existing/new forms + recognized-agencies page</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6"/>
              </w:rPr>
              <w:t>County InSite guide + San José scheduling page</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6"/>
              </w:rPr>
              <w:t>Direct</w:t>
            </w:r>
          </w:p>
        </w:tc>
      </w:tr>
      <w:tr>
        <w:tc>
          <w:tcPr>
            <w:tcW w:type="dxa" w:w="1440"/>
            <w:vAlign w:val="center"/>
            <w:tcMar>
              <w:top w:w="90" w:type="dxa"/>
              <w:start w:w="100" w:type="dxa"/>
              <w:bottom w:w="90" w:type="dxa"/>
              <w:end w:w="100" w:type="dxa"/>
            </w:tcMar>
            <w:shd w:fill="F8FBFD"/>
          </w:tcPr>
          <w:p>
            <w:pPr>
              <w:spacing w:after="0" w:line="240" w:lineRule="auto"/>
              <w:jc w:val="center"/>
            </w:pPr>
            <w:r>
              <w:rPr>
                <w:rFonts w:ascii="Aptos" w:hAnsi="Aptos"/>
                <w:b w:val="0"/>
                <w:i w:val="0"/>
                <w:sz w:val="16"/>
              </w:rPr>
              <w:t>Solano</w:t>
            </w:r>
          </w:p>
        </w:tc>
        <w:tc>
          <w:tcPr>
            <w:tcW w:type="dxa" w:w="367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agreement + county documents page</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County building documents / inspection workflow</w:t>
            </w:r>
          </w:p>
        </w:tc>
        <w:tc>
          <w:tcPr>
            <w:tcW w:type="dxa" w:w="2232"/>
            <w:vAlign w:val="center"/>
            <w:tcMar>
              <w:top w:w="90" w:type="dxa"/>
              <w:start w:w="100" w:type="dxa"/>
              <w:bottom w:w="90" w:type="dxa"/>
              <w:end w:w="100" w:type="dxa"/>
            </w:tcMar>
            <w:shd w:fill="F8FBFD"/>
          </w:tcPr>
          <w:p>
            <w:pPr>
              <w:spacing w:after="0" w:line="240" w:lineRule="auto"/>
              <w:jc w:val="left"/>
            </w:pPr>
            <w:r>
              <w:rPr>
                <w:rFonts w:ascii="Aptos" w:hAnsi="Aptos"/>
                <w:b w:val="0"/>
                <w:i w:val="0"/>
                <w:sz w:val="16"/>
              </w:rPr>
              <w:t>Direct for county agreement; trade side still page-led</w:t>
            </w:r>
          </w:p>
        </w:tc>
      </w:tr>
      <w:tr>
        <w:tc>
          <w:tcPr>
            <w:tcW w:type="dxa" w:w="1440"/>
            <w:vAlign w:val="center"/>
            <w:tcMar>
              <w:top w:w="90" w:type="dxa"/>
              <w:start w:w="100" w:type="dxa"/>
              <w:bottom w:w="90" w:type="dxa"/>
              <w:end w:w="100" w:type="dxa"/>
            </w:tcMar>
          </w:tcPr>
          <w:p>
            <w:pPr>
              <w:spacing w:after="0" w:line="240" w:lineRule="auto"/>
              <w:jc w:val="center"/>
            </w:pPr>
            <w:r>
              <w:rPr>
                <w:rFonts w:ascii="Aptos" w:hAnsi="Aptos"/>
                <w:b w:val="0"/>
                <w:i w:val="0"/>
                <w:sz w:val="16"/>
              </w:rPr>
              <w:t>Sonoma</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i w:val="0"/>
                <w:sz w:val="16"/>
              </w:rPr>
              <w:t>CNI-033R + CNI-033A + CNI-043 CALGreen verification</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6"/>
              </w:rPr>
              <w:t>Permit Sonoma codes / scheduling</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i w:val="0"/>
                <w:sz w:val="16"/>
              </w:rPr>
              <w:t>CNI-043 hardened to verified-direct</w:t>
            </w:r>
          </w:p>
        </w:tc>
      </w:tr>
    </w:tbl>
    <w:p>
      <w:pPr>
        <w:spacing w:after="120" w:before="0" w:line="276" w:lineRule="auto"/>
      </w:pPr>
    </w:p>
    <w:p>
      <w:pPr>
        <w:pStyle w:val="Heading1"/>
        <w:keepNext/>
        <w:spacing w:after="120" w:before="0" w:line="276" w:lineRule="auto"/>
      </w:pPr>
      <w:r>
        <w:rPr>
          <w:rFonts w:ascii="Aptos" w:hAnsi="Aptos"/>
          <w:b w:val="0"/>
          <w:i w:val="0"/>
          <w:sz w:val="22"/>
        </w:rPr>
        <w:t>Template pack architecture</w:t>
      </w:r>
    </w:p>
    <w:p>
      <w:pPr>
        <w:spacing w:after="120" w:before="0" w:line="276" w:lineRule="auto"/>
      </w:pPr>
      <w:r>
        <w:rPr>
          <w:rFonts w:ascii="Aptos" w:hAnsi="Aptos"/>
          <w:b w:val="0"/>
          <w:i w:val="0"/>
          <w:sz w:val="22"/>
        </w:rPr>
        <w:t>The template pack should be versioned as program bundles rather than as a loose library of checklists. Each program family needs opening, active, and closeout instruments where the lifecycle requires them.</w:t>
      </w:r>
    </w:p>
    <w:p>
      <w:pPr>
        <w:pStyle w:val="Heading2"/>
        <w:keepNext/>
        <w:spacing w:after="120" w:before="0" w:line="276" w:lineRule="auto"/>
      </w:pPr>
      <w:r>
        <w:rPr>
          <w:rFonts w:ascii="Aptos" w:hAnsi="Aptos"/>
          <w:b w:val="0"/>
          <w:i w:val="0"/>
          <w:sz w:val="22"/>
        </w:rPr>
        <w:t>Template family taxonomy</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Program family</w:t>
            </w:r>
          </w:p>
        </w:tc>
        <w:tc>
          <w:tcPr>
            <w:tcW w:type="dxa" w:w="266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Pack scope</w:t>
            </w:r>
          </w:p>
        </w:tc>
        <w:tc>
          <w:tcPr>
            <w:tcW w:type="dxa" w:w="568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Minimum instruments</w:t>
            </w:r>
          </w:p>
        </w:tc>
      </w:tr>
      <w:tr>
        <w:tc>
          <w:tcPr>
            <w:tcW w:type="dxa" w:w="1872"/>
            <w:vAlign w:val="center"/>
            <w:tcMar>
              <w:top w:w="90" w:type="dxa"/>
              <w:start w:w="100" w:type="dxa"/>
              <w:bottom w:w="90" w:type="dxa"/>
              <w:end w:w="100" w:type="dxa"/>
            </w:tcMar>
          </w:tcPr>
          <w:p>
            <w:pPr>
              <w:spacing w:after="0" w:line="240" w:lineRule="auto"/>
              <w:jc w:val="center"/>
            </w:pPr>
            <w:r>
              <w:rPr>
                <w:rFonts w:ascii="Aptos" w:hAnsi="Aptos"/>
                <w:b w:val="0"/>
                <w:i w:val="0"/>
                <w:sz w:val="17"/>
              </w:rPr>
              <w:t>SWPPP / CGP</w:t>
            </w:r>
          </w:p>
        </w:tc>
        <w:tc>
          <w:tcPr>
            <w:tcW w:type="dxa" w:w="2664"/>
            <w:vAlign w:val="center"/>
            <w:tcMar>
              <w:top w:w="90" w:type="dxa"/>
              <w:start w:w="100" w:type="dxa"/>
              <w:bottom w:w="90" w:type="dxa"/>
              <w:end w:w="100" w:type="dxa"/>
            </w:tcMar>
          </w:tcPr>
          <w:p>
            <w:pPr>
              <w:spacing w:after="0" w:line="240" w:lineRule="auto"/>
              <w:jc w:val="left"/>
            </w:pPr>
            <w:r>
              <w:rPr>
                <w:rFonts w:ascii="Aptos" w:hAnsi="Aptos"/>
                <w:b w:val="0"/>
                <w:i w:val="0"/>
                <w:sz w:val="17"/>
              </w:rPr>
              <w:t>Enrollment, active compliance, annual reporting, closeout</w:t>
            </w:r>
          </w:p>
        </w:tc>
        <w:tc>
          <w:tcPr>
            <w:tcW w:type="dxa" w:w="5688"/>
            <w:vAlign w:val="center"/>
            <w:tcMar>
              <w:top w:w="90" w:type="dxa"/>
              <w:start w:w="100" w:type="dxa"/>
              <w:bottom w:w="90" w:type="dxa"/>
              <w:end w:w="100" w:type="dxa"/>
            </w:tcMar>
          </w:tcPr>
          <w:p>
            <w:pPr>
              <w:spacing w:after="0" w:line="240" w:lineRule="auto"/>
              <w:jc w:val="left"/>
            </w:pPr>
            <w:r>
              <w:rPr>
                <w:rFonts w:ascii="Aptos" w:hAnsi="Aptos"/>
                <w:b w:val="0"/>
                <w:i w:val="0"/>
                <w:sz w:val="17"/>
              </w:rPr>
              <w:t>Enrollment / NOI-PRD checklist; first active compliance check; routine weekly; pre-QPE; during-QPE; post-QPE; annual report readiness; NOT closeout; final stabilization photo log</w:t>
            </w:r>
          </w:p>
        </w:tc>
      </w:tr>
      <w:tr>
        <w:tc>
          <w:tcPr>
            <w:tcW w:type="dxa" w:w="1872"/>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Special inspections</w:t>
            </w:r>
          </w:p>
        </w:tc>
        <w:tc>
          <w:tcPr>
            <w:tcW w:type="dxa" w:w="266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Packet intake, reporting, exception handling, closeout</w:t>
            </w:r>
          </w:p>
        </w:tc>
        <w:tc>
          <w:tcPr>
            <w:tcW w:type="dxa" w:w="568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Package cover; weekly / periodic report; nonconformance log; amended schedule; final report / closeout</w:t>
            </w:r>
          </w:p>
        </w:tc>
      </w:tr>
      <w:tr>
        <w:tc>
          <w:tcPr>
            <w:tcW w:type="dxa" w:w="1872"/>
            <w:vAlign w:val="center"/>
            <w:tcMar>
              <w:top w:w="90" w:type="dxa"/>
              <w:start w:w="100" w:type="dxa"/>
              <w:bottom w:w="90" w:type="dxa"/>
              <w:end w:w="100" w:type="dxa"/>
            </w:tcMar>
          </w:tcPr>
          <w:p>
            <w:pPr>
              <w:spacing w:after="0" w:line="240" w:lineRule="auto"/>
              <w:jc w:val="center"/>
            </w:pPr>
            <w:r>
              <w:rPr>
                <w:rFonts w:ascii="Aptos" w:hAnsi="Aptos"/>
                <w:b w:val="0"/>
                <w:i w:val="0"/>
                <w:sz w:val="17"/>
              </w:rPr>
              <w:t>Dust control</w:t>
            </w:r>
          </w:p>
        </w:tc>
        <w:tc>
          <w:tcPr>
            <w:tcW w:type="dxa" w:w="2664"/>
            <w:vAlign w:val="center"/>
            <w:tcMar>
              <w:top w:w="90" w:type="dxa"/>
              <w:start w:w="100" w:type="dxa"/>
              <w:bottom w:w="90" w:type="dxa"/>
              <w:end w:w="100" w:type="dxa"/>
            </w:tcMar>
          </w:tcPr>
          <w:p>
            <w:pPr>
              <w:spacing w:after="0" w:line="240" w:lineRule="auto"/>
              <w:jc w:val="left"/>
            </w:pPr>
            <w:r>
              <w:rPr>
                <w:rFonts w:ascii="Aptos" w:hAnsi="Aptos"/>
                <w:b w:val="0"/>
                <w:i w:val="0"/>
                <w:sz w:val="17"/>
              </w:rPr>
              <w:t>Applicability, approval, daily controls, evidence packet</w:t>
            </w:r>
          </w:p>
        </w:tc>
        <w:tc>
          <w:tcPr>
            <w:tcW w:type="dxa" w:w="5688"/>
            <w:vAlign w:val="center"/>
            <w:tcMar>
              <w:top w:w="90" w:type="dxa"/>
              <w:start w:w="100" w:type="dxa"/>
              <w:bottom w:w="90" w:type="dxa"/>
              <w:end w:w="100" w:type="dxa"/>
            </w:tcMar>
          </w:tcPr>
          <w:p>
            <w:pPr>
              <w:spacing w:after="0" w:line="240" w:lineRule="auto"/>
              <w:jc w:val="left"/>
            </w:pPr>
            <w:r>
              <w:rPr>
                <w:rFonts w:ascii="Aptos" w:hAnsi="Aptos"/>
                <w:b w:val="0"/>
                <w:i w:val="0"/>
                <w:sz w:val="17"/>
              </w:rPr>
              <w:t>Applicability gate; approved plan slot; daily / event log; monitoring and evidence export</w:t>
            </w:r>
          </w:p>
        </w:tc>
      </w:tr>
      <w:tr>
        <w:tc>
          <w:tcPr>
            <w:tcW w:type="dxa" w:w="1872"/>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Asbestos / demolition</w:t>
            </w:r>
          </w:p>
        </w:tc>
        <w:tc>
          <w:tcPr>
            <w:tcW w:type="dxa" w:w="266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Readiness + revision control</w:t>
            </w:r>
          </w:p>
        </w:tc>
        <w:tc>
          <w:tcPr>
            <w:tcW w:type="dxa" w:w="568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J# readiness checklist; date revision tracker; acknowledgment log</w:t>
            </w:r>
          </w:p>
        </w:tc>
      </w:tr>
      <w:tr>
        <w:tc>
          <w:tcPr>
            <w:tcW w:type="dxa" w:w="1872"/>
            <w:vAlign w:val="center"/>
            <w:tcMar>
              <w:top w:w="90" w:type="dxa"/>
              <w:start w:w="100" w:type="dxa"/>
              <w:bottom w:w="90" w:type="dxa"/>
              <w:end w:w="100" w:type="dxa"/>
            </w:tcMar>
          </w:tcPr>
          <w:p>
            <w:pPr>
              <w:spacing w:after="0" w:line="240" w:lineRule="auto"/>
              <w:jc w:val="center"/>
            </w:pPr>
            <w:r>
              <w:rPr>
                <w:rFonts w:ascii="Aptos" w:hAnsi="Aptos"/>
                <w:b w:val="0"/>
                <w:i w:val="0"/>
                <w:sz w:val="17"/>
              </w:rPr>
              <w:t>HazMat / CERS</w:t>
            </w:r>
          </w:p>
        </w:tc>
        <w:tc>
          <w:tcPr>
            <w:tcW w:type="dxa" w:w="2664"/>
            <w:vAlign w:val="center"/>
            <w:tcMar>
              <w:top w:w="90" w:type="dxa"/>
              <w:start w:w="100" w:type="dxa"/>
              <w:bottom w:w="90" w:type="dxa"/>
              <w:end w:w="100" w:type="dxa"/>
            </w:tcMar>
          </w:tcPr>
          <w:p>
            <w:pPr>
              <w:spacing w:after="0" w:line="240" w:lineRule="auto"/>
              <w:jc w:val="left"/>
            </w:pPr>
            <w:r>
              <w:rPr>
                <w:rFonts w:ascii="Aptos" w:hAnsi="Aptos"/>
                <w:b w:val="0"/>
                <w:i w:val="0"/>
                <w:sz w:val="17"/>
              </w:rPr>
              <w:t>Packet readiness + inventory</w:t>
            </w:r>
          </w:p>
        </w:tc>
        <w:tc>
          <w:tcPr>
            <w:tcW w:type="dxa" w:w="5688"/>
            <w:vAlign w:val="center"/>
            <w:tcMar>
              <w:top w:w="90" w:type="dxa"/>
              <w:start w:w="100" w:type="dxa"/>
              <w:bottom w:w="90" w:type="dxa"/>
              <w:end w:w="100" w:type="dxa"/>
            </w:tcMar>
          </w:tcPr>
          <w:p>
            <w:pPr>
              <w:spacing w:after="0" w:line="240" w:lineRule="auto"/>
              <w:jc w:val="left"/>
            </w:pPr>
            <w:r>
              <w:rPr>
                <w:rFonts w:ascii="Aptos" w:hAnsi="Aptos"/>
                <w:b w:val="0"/>
                <w:i w:val="0"/>
                <w:sz w:val="17"/>
              </w:rPr>
              <w:t>Inventory sheet; site map checklist; emergency contacts; training / acknowledgment</w:t>
            </w:r>
          </w:p>
        </w:tc>
      </w:tr>
      <w:tr>
        <w:tc>
          <w:tcPr>
            <w:tcW w:type="dxa" w:w="1872"/>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Trade inspections</w:t>
            </w:r>
          </w:p>
        </w:tc>
        <w:tc>
          <w:tcPr>
            <w:tcW w:type="dxa" w:w="266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Request tracking + scheduling notes</w:t>
            </w:r>
          </w:p>
        </w:tc>
        <w:tc>
          <w:tcPr>
            <w:tcW w:type="dxa" w:w="568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Request tracker; trade code mapping; before-cover triggers; result handling</w:t>
            </w:r>
          </w:p>
        </w:tc>
      </w:tr>
    </w:tbl>
    <w:p>
      <w:pPr>
        <w:spacing w:after="120" w:before="0" w:line="276" w:lineRule="auto"/>
      </w:pPr>
    </w:p>
    <w:p>
      <w:pPr>
        <w:pStyle w:val="Heading1"/>
        <w:keepNext/>
        <w:spacing w:after="120" w:before="0" w:line="276" w:lineRule="auto"/>
      </w:pPr>
      <w:r>
        <w:rPr>
          <w:rFonts w:ascii="Aptos" w:hAnsi="Aptos"/>
          <w:b w:val="0"/>
          <w:i w:val="0"/>
          <w:sz w:val="22"/>
        </w:rPr>
        <w:t>Architecture and data model</w:t>
      </w:r>
    </w:p>
    <w:p>
      <w:pPr>
        <w:spacing w:after="120" w:before="0" w:line="276" w:lineRule="auto"/>
      </w:pPr>
      <w:r>
        <w:rPr>
          <w:rFonts w:ascii="Aptos" w:hAnsi="Aptos"/>
          <w:b w:val="0"/>
          <w:i w:val="0"/>
          <w:sz w:val="22"/>
        </w:rPr>
        <w:t>The app-native schema pass established the right separation: official source records stay separate from runtime packet rules, and document-vault placeholders stay separate from field inspection results. That separation should remain intact in the source-of-truth design.</w:t>
      </w:r>
    </w:p>
    <w:p>
      <w:pPr>
        <w:pStyle w:val="Heading2"/>
        <w:keepNext/>
        <w:spacing w:after="120" w:before="0" w:line="276" w:lineRule="auto"/>
      </w:pPr>
      <w:r>
        <w:rPr>
          <w:rFonts w:ascii="Aptos" w:hAnsi="Aptos"/>
          <w:b w:val="0"/>
          <w:i w:val="0"/>
          <w:sz w:val="22"/>
        </w:rPr>
        <w:t>Core runtime tables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Table</w:t>
            </w:r>
          </w:p>
        </w:tc>
        <w:tc>
          <w:tcPr>
            <w:tcW w:type="dxa" w:w="417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Key columns</w:t>
            </w:r>
          </w:p>
        </w:tc>
        <w:tc>
          <w:tcPr>
            <w:tcW w:type="dxa" w:w="302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Purpose</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jurisdiction</w:t>
            </w:r>
          </w:p>
        </w:tc>
        <w:tc>
          <w:tcPr>
            <w:tcW w:type="dxa" w:w="4176"/>
            <w:vAlign w:val="center"/>
            <w:tcMar>
              <w:top w:w="90" w:type="dxa"/>
              <w:start w:w="100" w:type="dxa"/>
              <w:bottom w:w="90" w:type="dxa"/>
              <w:end w:w="100" w:type="dxa"/>
            </w:tcMar>
          </w:tcPr>
          <w:p>
            <w:pPr>
              <w:spacing w:after="0" w:line="240" w:lineRule="auto"/>
              <w:jc w:val="left"/>
            </w:pPr>
            <w:r>
              <w:rPr>
                <w:rFonts w:ascii="Aptos" w:hAnsi="Aptos"/>
                <w:b w:val="0"/>
                <w:i w:val="0"/>
                <w:sz w:val="17"/>
              </w:rPr>
              <w:t>jurisdiction_id, county_group, level, parent_jurisdiction_id</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7"/>
              </w:rPr>
              <w:t>County/city/regional/statewide registry</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agency</w:t>
            </w:r>
          </w:p>
        </w:tc>
        <w:tc>
          <w:tcPr>
            <w:tcW w:type="dxa" w:w="41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agency_id, jurisdiction_id, name, program_owner_flag</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Publishing / enforcing authority registry</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regulatory_program</w:t>
            </w:r>
          </w:p>
        </w:tc>
        <w:tc>
          <w:tcPr>
            <w:tcW w:type="dxa" w:w="4176"/>
            <w:vAlign w:val="center"/>
            <w:tcMar>
              <w:top w:w="90" w:type="dxa"/>
              <w:start w:w="100" w:type="dxa"/>
              <w:bottom w:w="90" w:type="dxa"/>
              <w:end w:w="100" w:type="dxa"/>
            </w:tcMar>
          </w:tcPr>
          <w:p>
            <w:pPr>
              <w:spacing w:after="0" w:line="240" w:lineRule="auto"/>
              <w:jc w:val="left"/>
            </w:pPr>
            <w:r>
              <w:rPr>
                <w:rFonts w:ascii="Aptos" w:hAnsi="Aptos"/>
                <w:b w:val="0"/>
                <w:i w:val="0"/>
                <w:sz w:val="17"/>
              </w:rPr>
              <w:t>program_id, code, name, scope_level</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7"/>
              </w:rPr>
              <w:t>Program families such as SWPPP, special inspections, dust, asbestos</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inspection_type</w:t>
            </w:r>
          </w:p>
        </w:tc>
        <w:tc>
          <w:tcPr>
            <w:tcW w:type="dxa" w:w="41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inspection_type_id, program_id, code, name</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Stable field workflow types</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workflow_stage</w:t>
            </w:r>
          </w:p>
        </w:tc>
        <w:tc>
          <w:tcPr>
            <w:tcW w:type="dxa" w:w="4176"/>
            <w:vAlign w:val="center"/>
            <w:tcMar>
              <w:top w:w="90" w:type="dxa"/>
              <w:start w:w="100" w:type="dxa"/>
              <w:bottom w:w="90" w:type="dxa"/>
              <w:end w:w="100" w:type="dxa"/>
            </w:tcMar>
          </w:tcPr>
          <w:p>
            <w:pPr>
              <w:spacing w:after="0" w:line="240" w:lineRule="auto"/>
              <w:jc w:val="left"/>
            </w:pPr>
            <w:r>
              <w:rPr>
                <w:rFonts w:ascii="Aptos" w:hAnsi="Aptos"/>
                <w:b w:val="0"/>
                <w:i w:val="0"/>
                <w:sz w:val="17"/>
              </w:rPr>
              <w:t>workflow_stage_id, program_id, code, ordinal, name</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7"/>
              </w:rPr>
              <w:t>Lifecycle-stage registry</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source_record</w:t>
            </w:r>
          </w:p>
        </w:tc>
        <w:tc>
          <w:tcPr>
            <w:tcW w:type="dxa" w:w="41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source_record_id, agency_id, source_url, source_type, fingerprint_hash, verification_status</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Controlled official source library</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form_record</w:t>
            </w:r>
          </w:p>
        </w:tc>
        <w:tc>
          <w:tcPr>
            <w:tcW w:type="dxa" w:w="4176"/>
            <w:vAlign w:val="center"/>
            <w:tcMar>
              <w:top w:w="90" w:type="dxa"/>
              <w:start w:w="100" w:type="dxa"/>
              <w:bottom w:w="90" w:type="dxa"/>
              <w:end w:w="100" w:type="dxa"/>
            </w:tcMar>
          </w:tcPr>
          <w:p>
            <w:pPr>
              <w:spacing w:after="0" w:line="240" w:lineRule="auto"/>
              <w:jc w:val="left"/>
            </w:pPr>
            <w:r>
              <w:rPr>
                <w:rFonts w:ascii="Aptos" w:hAnsi="Aptos"/>
                <w:b w:val="0"/>
                <w:i w:val="0"/>
                <w:sz w:val="17"/>
              </w:rPr>
              <w:t>form_record_id, source_record_id, packet_role, form_kind</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7"/>
              </w:rPr>
              <w:t>Implementation-facing form or reference asset</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jurisdiction_packet_rule</w:t>
            </w:r>
          </w:p>
        </w:tc>
        <w:tc>
          <w:tcPr>
            <w:tcW w:type="dxa" w:w="41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rule_id, jurisdiction_id, inspection_type_id, workflow_stage_id, required_flag, rule_expression</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Runtime packet rules</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document_vault_slot</w:t>
            </w:r>
          </w:p>
        </w:tc>
        <w:tc>
          <w:tcPr>
            <w:tcW w:type="dxa" w:w="4176"/>
            <w:vAlign w:val="center"/>
            <w:tcMar>
              <w:top w:w="90" w:type="dxa"/>
              <w:start w:w="100" w:type="dxa"/>
              <w:bottom w:w="90" w:type="dxa"/>
              <w:end w:w="100" w:type="dxa"/>
            </w:tcMar>
          </w:tcPr>
          <w:p>
            <w:pPr>
              <w:spacing w:after="0" w:line="240" w:lineRule="auto"/>
              <w:jc w:val="left"/>
            </w:pPr>
            <w:r>
              <w:rPr>
                <w:rFonts w:ascii="Aptos" w:hAnsi="Aptos"/>
                <w:b w:val="0"/>
                <w:i w:val="0"/>
                <w:sz w:val="17"/>
              </w:rPr>
              <w:t>slot_id, jurisdiction_id, program_id, slot_code, required_stage</w:t>
            </w:r>
          </w:p>
        </w:tc>
        <w:tc>
          <w:tcPr>
            <w:tcW w:type="dxa" w:w="3024"/>
            <w:vAlign w:val="center"/>
            <w:tcMar>
              <w:top w:w="90" w:type="dxa"/>
              <w:start w:w="100" w:type="dxa"/>
              <w:bottom w:w="90" w:type="dxa"/>
              <w:end w:w="100" w:type="dxa"/>
            </w:tcMar>
          </w:tcPr>
          <w:p>
            <w:pPr>
              <w:spacing w:after="0" w:line="240" w:lineRule="auto"/>
              <w:jc w:val="left"/>
            </w:pPr>
            <w:r>
              <w:rPr>
                <w:rFonts w:ascii="Aptos" w:hAnsi="Aptos"/>
                <w:b w:val="0"/>
                <w:i w:val="0"/>
                <w:sz w:val="17"/>
              </w:rPr>
              <w:t>Required document placeholders</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task_cadence_rule</w:t>
            </w:r>
          </w:p>
        </w:tc>
        <w:tc>
          <w:tcPr>
            <w:tcW w:type="dxa" w:w="417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task_rule_id, jurisdiction_id, inspection_type_id, cadence_code, trigger_rule</w:t>
            </w:r>
          </w:p>
        </w:tc>
        <w:tc>
          <w:tcPr>
            <w:tcW w:type="dxa" w:w="302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Recurring task generation</w:t>
            </w:r>
          </w:p>
        </w:tc>
      </w:tr>
    </w:tbl>
    <w:p>
      <w:pPr>
        <w:spacing w:after="120" w:before="0" w:line="276" w:lineRule="auto"/>
      </w:pPr>
    </w:p>
    <w:p>
      <w:pPr>
        <w:pStyle w:val="Heading1"/>
        <w:keepNext/>
        <w:spacing w:after="120" w:before="0" w:line="276" w:lineRule="auto"/>
      </w:pPr>
      <w:r>
        <w:rPr>
          <w:rFonts w:ascii="Aptos" w:hAnsi="Aptos"/>
          <w:b w:val="0"/>
          <w:i w:val="0"/>
          <w:sz w:val="22"/>
        </w:rPr>
        <w:t>Evidence integrity and export packets</w:t>
      </w:r>
    </w:p>
    <w:p>
      <w:pPr>
        <w:pStyle w:val="ListBullet"/>
        <w:spacing w:after="80" w:line="269" w:lineRule="auto"/>
      </w:pPr>
      <w:r>
        <w:rPr>
          <w:rFonts w:ascii="Aptos" w:hAnsi="Aptos"/>
          <w:b w:val="0"/>
          <w:i w:val="0"/>
          <w:sz w:val="22"/>
        </w:rPr>
        <w:t>Every export packet should be assembled from immutable inspection records, linked attachments, signatures, issue closures, and packet-cover metadata.</w:t>
      </w:r>
    </w:p>
    <w:p>
      <w:pPr>
        <w:pStyle w:val="ListBullet"/>
        <w:spacing w:after="80" w:line="269" w:lineRule="auto"/>
      </w:pPr>
      <w:r>
        <w:rPr>
          <w:rFonts w:ascii="Aptos" w:hAnsi="Aptos"/>
          <w:b w:val="0"/>
          <w:i w:val="0"/>
          <w:sz w:val="22"/>
        </w:rPr>
        <w:t>Packet exports should distinguish official-source references from internal-use template outputs.</w:t>
      </w:r>
    </w:p>
    <w:p>
      <w:pPr>
        <w:pStyle w:val="ListBullet"/>
        <w:spacing w:after="80" w:line="269" w:lineRule="auto"/>
      </w:pPr>
      <w:r>
        <w:rPr>
          <w:rFonts w:ascii="Aptos" w:hAnsi="Aptos"/>
          <w:b w:val="0"/>
          <w:i w:val="0"/>
          <w:sz w:val="22"/>
        </w:rPr>
        <w:t>Jurisdiction packet exports should include a visible verification status badge when the rule is driven by a trigger-only source rather than a dedicated cover form.</w:t>
      </w:r>
    </w:p>
    <w:p>
      <w:pPr>
        <w:pStyle w:val="ListBullet"/>
        <w:spacing w:after="80" w:line="269" w:lineRule="auto"/>
      </w:pPr>
      <w:r>
        <w:rPr>
          <w:rFonts w:ascii="Aptos" w:hAnsi="Aptos"/>
          <w:b w:val="0"/>
          <w:i w:val="0"/>
          <w:sz w:val="22"/>
        </w:rPr>
        <w:t>The product should support at least three packet classes at MVP: inspection report packet, issue / corrective action packet, and program-compliance packet.</w:t>
      </w:r>
    </w:p>
    <w:p>
      <w:pPr>
        <w:pStyle w:val="Heading1"/>
        <w:keepNext/>
        <w:spacing w:after="120" w:before="0" w:line="276" w:lineRule="auto"/>
      </w:pPr>
      <w:r>
        <w:rPr>
          <w:rFonts w:ascii="Aptos" w:hAnsi="Aptos"/>
          <w:b w:val="0"/>
          <w:i w:val="0"/>
          <w:sz w:val="22"/>
        </w:rPr>
        <w:t>Crawler and revision operations</w:t>
      </w:r>
    </w:p>
    <w:p>
      <w:pPr>
        <w:pStyle w:val="ListBullet"/>
        <w:spacing w:after="80" w:line="269" w:lineRule="auto"/>
      </w:pPr>
      <w:r>
        <w:rPr>
          <w:rFonts w:ascii="Aptos" w:hAnsi="Aptos"/>
          <w:b w:val="0"/>
          <w:i w:val="0"/>
          <w:sz w:val="22"/>
        </w:rPr>
        <w:t>Use source adapters by CMS pattern: CivicLive, Granicus, ProudCity, DocumentCenter, static PDFs, and portal metadata pages.</w:t>
      </w:r>
    </w:p>
    <w:p>
      <w:pPr>
        <w:pStyle w:val="ListBullet"/>
        <w:spacing w:after="80" w:line="269" w:lineRule="auto"/>
      </w:pPr>
      <w:r>
        <w:rPr>
          <w:rFonts w:ascii="Aptos" w:hAnsi="Aptos"/>
          <w:b w:val="0"/>
          <w:i w:val="0"/>
          <w:sz w:val="22"/>
        </w:rPr>
        <w:t>Store revision fingerprints so form changes can be detected without manually re-reading every jurisdiction page.</w:t>
      </w:r>
    </w:p>
    <w:p>
      <w:pPr>
        <w:pStyle w:val="ListBullet"/>
        <w:spacing w:after="80" w:line="269" w:lineRule="auto"/>
      </w:pPr>
      <w:r>
        <w:rPr>
          <w:rFonts w:ascii="Aptos" w:hAnsi="Aptos"/>
          <w:b w:val="0"/>
          <w:i w:val="0"/>
          <w:sz w:val="22"/>
        </w:rPr>
        <w:t>Maintain a human QA lane for deciding whether a source is a required form, a guidance page, or only a trigger source.</w:t>
      </w:r>
    </w:p>
    <w:p>
      <w:pPr>
        <w:pStyle w:val="ListBullet"/>
        <w:spacing w:after="80" w:line="269" w:lineRule="auto"/>
      </w:pPr>
      <w:r>
        <w:rPr>
          <w:rFonts w:ascii="Aptos" w:hAnsi="Aptos"/>
          <w:b w:val="0"/>
          <w:i w:val="0"/>
          <w:sz w:val="22"/>
        </w:rPr>
        <w:t>Preserve county/city/regional/statewide graph relationships so rules can inherit statewide modules without hiding local packet differences.</w:t>
      </w:r>
    </w:p>
    <w:p>
      <w:pPr>
        <w:pStyle w:val="Heading1"/>
        <w:keepNext/>
        <w:spacing w:after="120" w:before="0" w:line="276" w:lineRule="auto"/>
      </w:pPr>
      <w:r>
        <w:rPr>
          <w:rFonts w:ascii="Aptos" w:hAnsi="Aptos"/>
          <w:b w:val="0"/>
          <w:i w:val="0"/>
          <w:sz w:val="22"/>
        </w:rPr>
        <w:t>Role model and packet classes</w:t>
      </w:r>
    </w:p>
    <w:p>
      <w:pPr>
        <w:pStyle w:val="Heading2"/>
        <w:keepNext/>
        <w:spacing w:after="120" w:before="0" w:line="276" w:lineRule="auto"/>
      </w:pPr>
      <w:r>
        <w:rPr>
          <w:rFonts w:ascii="Aptos" w:hAnsi="Aptos"/>
          <w:b w:val="0"/>
          <w:i w:val="0"/>
          <w:sz w:val="22"/>
        </w:rPr>
        <w:t>Role model</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Role</w:t>
            </w:r>
          </w:p>
        </w:tc>
        <w:tc>
          <w:tcPr>
            <w:tcW w:type="dxa" w:w="432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Primary responsibility</w:t>
            </w:r>
          </w:p>
        </w:tc>
        <w:tc>
          <w:tcPr>
            <w:tcW w:type="dxa" w:w="3168"/>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System focus</w:t>
            </w:r>
          </w:p>
        </w:tc>
      </w:tr>
      <w:tr>
        <w:tc>
          <w:tcPr>
            <w:tcW w:type="dxa" w:w="1872"/>
            <w:vAlign w:val="center"/>
            <w:tcMar>
              <w:top w:w="90" w:type="dxa"/>
              <w:start w:w="100" w:type="dxa"/>
              <w:bottom w:w="90" w:type="dxa"/>
              <w:end w:w="100" w:type="dxa"/>
            </w:tcMar>
          </w:tcPr>
          <w:p>
            <w:pPr>
              <w:spacing w:after="0" w:line="240" w:lineRule="auto"/>
              <w:jc w:val="center"/>
            </w:pPr>
            <w:r>
              <w:rPr>
                <w:rFonts w:ascii="Aptos" w:hAnsi="Aptos"/>
                <w:b w:val="0"/>
                <w:i w:val="0"/>
                <w:sz w:val="17"/>
              </w:rPr>
              <w:t>Field inspector</w:t>
            </w:r>
          </w:p>
        </w:tc>
        <w:tc>
          <w:tcPr>
            <w:tcW w:type="dxa" w:w="4320"/>
            <w:vAlign w:val="center"/>
            <w:tcMar>
              <w:top w:w="90" w:type="dxa"/>
              <w:start w:w="100" w:type="dxa"/>
              <w:bottom w:w="90" w:type="dxa"/>
              <w:end w:w="100" w:type="dxa"/>
            </w:tcMar>
          </w:tcPr>
          <w:p>
            <w:pPr>
              <w:spacing w:after="0" w:line="240" w:lineRule="auto"/>
              <w:jc w:val="left"/>
            </w:pPr>
            <w:r>
              <w:rPr>
                <w:rFonts w:ascii="Aptos" w:hAnsi="Aptos"/>
                <w:b w:val="0"/>
                <w:i w:val="0"/>
                <w:sz w:val="17"/>
              </w:rPr>
              <w:t>Capture evidence, complete runs, open issues</w:t>
            </w:r>
          </w:p>
        </w:tc>
        <w:tc>
          <w:tcPr>
            <w:tcW w:type="dxa" w:w="3168"/>
            <w:vAlign w:val="center"/>
            <w:tcMar>
              <w:top w:w="90" w:type="dxa"/>
              <w:start w:w="100" w:type="dxa"/>
              <w:bottom w:w="90" w:type="dxa"/>
              <w:end w:w="100" w:type="dxa"/>
            </w:tcMar>
          </w:tcPr>
          <w:p>
            <w:pPr>
              <w:spacing w:after="0" w:line="240" w:lineRule="auto"/>
              <w:jc w:val="left"/>
            </w:pPr>
            <w:r>
              <w:rPr>
                <w:rFonts w:ascii="Aptos" w:hAnsi="Aptos"/>
                <w:b w:val="0"/>
                <w:i w:val="0"/>
                <w:sz w:val="17"/>
              </w:rPr>
              <w:t>Fast offline execution and low-friction evidence capture</w:t>
            </w:r>
          </w:p>
        </w:tc>
      </w:tr>
      <w:tr>
        <w:tc>
          <w:tcPr>
            <w:tcW w:type="dxa" w:w="1872"/>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Manager / reviewer</w:t>
            </w:r>
          </w:p>
        </w:tc>
        <w:tc>
          <w:tcPr>
            <w:tcW w:type="dxa" w:w="432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Approve, return, verify closeout, monitor overdue actions</w:t>
            </w:r>
          </w:p>
        </w:tc>
        <w:tc>
          <w:tcPr>
            <w:tcW w:type="dxa" w:w="316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Review queue, issue dashboard, packet visibility</w:t>
            </w:r>
          </w:p>
        </w:tc>
      </w:tr>
      <w:tr>
        <w:tc>
          <w:tcPr>
            <w:tcW w:type="dxa" w:w="1872"/>
            <w:vAlign w:val="center"/>
            <w:tcMar>
              <w:top w:w="90" w:type="dxa"/>
              <w:start w:w="100" w:type="dxa"/>
              <w:bottom w:w="90" w:type="dxa"/>
              <w:end w:w="100" w:type="dxa"/>
            </w:tcMar>
          </w:tcPr>
          <w:p>
            <w:pPr>
              <w:spacing w:after="0" w:line="240" w:lineRule="auto"/>
              <w:jc w:val="center"/>
            </w:pPr>
            <w:r>
              <w:rPr>
                <w:rFonts w:ascii="Aptos" w:hAnsi="Aptos"/>
                <w:b w:val="0"/>
                <w:i w:val="0"/>
                <w:sz w:val="17"/>
              </w:rPr>
              <w:t>Administrator</w:t>
            </w:r>
          </w:p>
        </w:tc>
        <w:tc>
          <w:tcPr>
            <w:tcW w:type="dxa" w:w="4320"/>
            <w:vAlign w:val="center"/>
            <w:tcMar>
              <w:top w:w="90" w:type="dxa"/>
              <w:start w:w="100" w:type="dxa"/>
              <w:bottom w:w="90" w:type="dxa"/>
              <w:end w:w="100" w:type="dxa"/>
            </w:tcMar>
          </w:tcPr>
          <w:p>
            <w:pPr>
              <w:spacing w:after="0" w:line="240" w:lineRule="auto"/>
              <w:jc w:val="left"/>
            </w:pPr>
            <w:r>
              <w:rPr>
                <w:rFonts w:ascii="Aptos" w:hAnsi="Aptos"/>
                <w:b w:val="0"/>
                <w:i w:val="0"/>
                <w:sz w:val="17"/>
              </w:rPr>
              <w:t>Govern templates, sources, packet rules, and verification statuses</w:t>
            </w:r>
          </w:p>
        </w:tc>
        <w:tc>
          <w:tcPr>
            <w:tcW w:type="dxa" w:w="3168"/>
            <w:vAlign w:val="center"/>
            <w:tcMar>
              <w:top w:w="90" w:type="dxa"/>
              <w:start w:w="100" w:type="dxa"/>
              <w:bottom w:w="90" w:type="dxa"/>
              <w:end w:w="100" w:type="dxa"/>
            </w:tcMar>
          </w:tcPr>
          <w:p>
            <w:pPr>
              <w:spacing w:after="0" w:line="240" w:lineRule="auto"/>
              <w:jc w:val="left"/>
            </w:pPr>
            <w:r>
              <w:rPr>
                <w:rFonts w:ascii="Aptos" w:hAnsi="Aptos"/>
                <w:b w:val="0"/>
                <w:i w:val="0"/>
                <w:sz w:val="17"/>
              </w:rPr>
              <w:t>Controlled forms library and rule governance</w:t>
            </w:r>
          </w:p>
        </w:tc>
      </w:tr>
      <w:tr>
        <w:tc>
          <w:tcPr>
            <w:tcW w:type="dxa" w:w="1872"/>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External stakeholder</w:t>
            </w:r>
          </w:p>
        </w:tc>
        <w:tc>
          <w:tcPr>
            <w:tcW w:type="dxa" w:w="4320"/>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Review shared packet or summary</w:t>
            </w:r>
          </w:p>
        </w:tc>
        <w:tc>
          <w:tcPr>
            <w:tcW w:type="dxa" w:w="3168"/>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Permissioned packet access and acknowledgment</w:t>
            </w:r>
          </w:p>
        </w:tc>
      </w:tr>
    </w:tbl>
    <w:p>
      <w:pPr>
        <w:spacing w:after="120" w:before="0" w:line="276" w:lineRule="auto"/>
      </w:pPr>
    </w:p>
    <w:p>
      <w:pPr>
        <w:pStyle w:val="Heading2"/>
        <w:keepNext/>
        <w:spacing w:after="120" w:before="0" w:line="276" w:lineRule="auto"/>
      </w:pPr>
      <w:r>
        <w:rPr>
          <w:rFonts w:ascii="Aptos" w:hAnsi="Aptos"/>
          <w:b w:val="0"/>
          <w:i w:val="0"/>
          <w:sz w:val="22"/>
        </w:rPr>
        <w:t>Packet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Packet class</w:t>
            </w:r>
          </w:p>
        </w:tc>
        <w:tc>
          <w:tcPr>
            <w:tcW w:type="dxa" w:w="446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Included components</w:t>
            </w:r>
          </w:p>
        </w:tc>
        <w:tc>
          <w:tcPr>
            <w:tcW w:type="dxa" w:w="2736"/>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Primary use</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Inspection packet</w:t>
            </w:r>
          </w:p>
        </w:tc>
        <w:tc>
          <w:tcPr>
            <w:tcW w:type="dxa" w:w="4464"/>
            <w:vAlign w:val="center"/>
            <w:tcMar>
              <w:top w:w="90" w:type="dxa"/>
              <w:start w:w="100" w:type="dxa"/>
              <w:bottom w:w="90" w:type="dxa"/>
              <w:end w:w="100" w:type="dxa"/>
            </w:tcMar>
          </w:tcPr>
          <w:p>
            <w:pPr>
              <w:spacing w:after="0" w:line="240" w:lineRule="auto"/>
              <w:jc w:val="left"/>
            </w:pPr>
            <w:r>
              <w:rPr>
                <w:rFonts w:ascii="Aptos" w:hAnsi="Aptos"/>
                <w:b w:val="0"/>
                <w:i w:val="0"/>
                <w:sz w:val="17"/>
              </w:rPr>
              <w:t>Inspection responses, attachments, signatures, audit summary</w:t>
            </w:r>
          </w:p>
        </w:tc>
        <w:tc>
          <w:tcPr>
            <w:tcW w:type="dxa" w:w="2736"/>
            <w:vAlign w:val="center"/>
            <w:tcMar>
              <w:top w:w="90" w:type="dxa"/>
              <w:start w:w="100" w:type="dxa"/>
              <w:bottom w:w="90" w:type="dxa"/>
              <w:end w:w="100" w:type="dxa"/>
            </w:tcMar>
          </w:tcPr>
          <w:p>
            <w:pPr>
              <w:spacing w:after="0" w:line="240" w:lineRule="auto"/>
              <w:jc w:val="left"/>
            </w:pPr>
            <w:r>
              <w:rPr>
                <w:rFonts w:ascii="Aptos" w:hAnsi="Aptos"/>
                <w:b w:val="0"/>
                <w:i w:val="0"/>
                <w:sz w:val="17"/>
              </w:rPr>
              <w:t>Routine manager review or owner share</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Issue packet</w:t>
            </w:r>
          </w:p>
        </w:tc>
        <w:tc>
          <w:tcPr>
            <w:tcW w:type="dxa" w:w="446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Open issues, assignees, due dates, closure evidence</w:t>
            </w:r>
          </w:p>
        </w:tc>
        <w:tc>
          <w:tcPr>
            <w:tcW w:type="dxa" w:w="273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Corrective-action management</w:t>
            </w:r>
          </w:p>
        </w:tc>
      </w:tr>
      <w:tr>
        <w:tc>
          <w:tcPr>
            <w:tcW w:type="dxa" w:w="2160"/>
            <w:vAlign w:val="center"/>
            <w:tcMar>
              <w:top w:w="90" w:type="dxa"/>
              <w:start w:w="100" w:type="dxa"/>
              <w:bottom w:w="90" w:type="dxa"/>
              <w:end w:w="100" w:type="dxa"/>
            </w:tcMar>
          </w:tcPr>
          <w:p>
            <w:pPr>
              <w:spacing w:after="0" w:line="240" w:lineRule="auto"/>
              <w:jc w:val="center"/>
            </w:pPr>
            <w:r>
              <w:rPr>
                <w:rFonts w:ascii="Aptos" w:hAnsi="Aptos"/>
                <w:b w:val="0"/>
                <w:i w:val="0"/>
                <w:sz w:val="17"/>
              </w:rPr>
              <w:t>Compliance packet</w:t>
            </w:r>
          </w:p>
        </w:tc>
        <w:tc>
          <w:tcPr>
            <w:tcW w:type="dxa" w:w="4464"/>
            <w:vAlign w:val="center"/>
            <w:tcMar>
              <w:top w:w="90" w:type="dxa"/>
              <w:start w:w="100" w:type="dxa"/>
              <w:bottom w:w="90" w:type="dxa"/>
              <w:end w:w="100" w:type="dxa"/>
            </w:tcMar>
          </w:tcPr>
          <w:p>
            <w:pPr>
              <w:spacing w:after="0" w:line="240" w:lineRule="auto"/>
              <w:jc w:val="left"/>
            </w:pPr>
            <w:r>
              <w:rPr>
                <w:rFonts w:ascii="Aptos" w:hAnsi="Aptos"/>
                <w:b w:val="0"/>
                <w:i w:val="0"/>
                <w:sz w:val="17"/>
              </w:rPr>
              <w:t>Inspection packet + jurisdiction cover elements + official-source references</w:t>
            </w:r>
          </w:p>
        </w:tc>
        <w:tc>
          <w:tcPr>
            <w:tcW w:type="dxa" w:w="2736"/>
            <w:vAlign w:val="center"/>
            <w:tcMar>
              <w:top w:w="90" w:type="dxa"/>
              <w:start w:w="100" w:type="dxa"/>
              <w:bottom w:w="90" w:type="dxa"/>
              <w:end w:w="100" w:type="dxa"/>
            </w:tcMar>
          </w:tcPr>
          <w:p>
            <w:pPr>
              <w:spacing w:after="0" w:line="240" w:lineRule="auto"/>
              <w:jc w:val="left"/>
            </w:pPr>
            <w:r>
              <w:rPr>
                <w:rFonts w:ascii="Aptos" w:hAnsi="Aptos"/>
                <w:b w:val="0"/>
                <w:i w:val="0"/>
                <w:sz w:val="17"/>
              </w:rPr>
              <w:t>Agency-facing or closeout support</w:t>
            </w:r>
          </w:p>
        </w:tc>
      </w:tr>
      <w:tr>
        <w:tc>
          <w:tcPr>
            <w:tcW w:type="dxa" w:w="216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Closeout packet</w:t>
            </w:r>
          </w:p>
        </w:tc>
        <w:tc>
          <w:tcPr>
            <w:tcW w:type="dxa" w:w="446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Final verification artifacts, unresolved-item sweep, required approvals</w:t>
            </w:r>
          </w:p>
        </w:tc>
        <w:tc>
          <w:tcPr>
            <w:tcW w:type="dxa" w:w="2736"/>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Termination, final, or occupancy support</w:t>
            </w:r>
          </w:p>
        </w:tc>
      </w:tr>
    </w:tbl>
    <w:p>
      <w:pPr>
        <w:spacing w:after="120" w:before="0" w:line="276" w:lineRule="auto"/>
      </w:pPr>
    </w:p>
    <w:p>
      <w:pPr>
        <w:pStyle w:val="Heading1"/>
        <w:keepNext/>
        <w:spacing w:after="120" w:before="0" w:line="276" w:lineRule="auto"/>
      </w:pPr>
      <w:r>
        <w:rPr>
          <w:rFonts w:ascii="Aptos" w:hAnsi="Aptos"/>
          <w:b w:val="0"/>
          <w:i w:val="0"/>
          <w:sz w:val="22"/>
        </w:rPr>
        <w:t>Runtime rule examples</w:t>
      </w:r>
    </w:p>
    <w:p>
      <w:pPr>
        <w:pStyle w:val="Heading2"/>
        <w:keepNext/>
        <w:spacing w:after="120" w:before="0" w:line="276" w:lineRule="auto"/>
      </w:pPr>
      <w:r>
        <w:rPr>
          <w:rFonts w:ascii="Aptos" w:hAnsi="Aptos"/>
          <w:b w:val="0"/>
          <w:i w:val="0"/>
          <w:sz w:val="22"/>
        </w:rPr>
        <w:t>Example jurisdiction packet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Jurisdiction</w:t>
            </w:r>
          </w:p>
        </w:tc>
        <w:tc>
          <w:tcPr>
            <w:tcW w:type="dxa" w:w="1944"/>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Inspection type</w:t>
            </w:r>
          </w:p>
        </w:tc>
        <w:tc>
          <w:tcPr>
            <w:tcW w:type="dxa" w:w="187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Workflow stage</w:t>
            </w:r>
          </w:p>
        </w:tc>
        <w:tc>
          <w:tcPr>
            <w:tcW w:type="dxa" w:w="4032"/>
            <w:shd w:fill="DCEAF6"/>
            <w:tcMar>
              <w:top w:w="100" w:type="dxa"/>
              <w:start w:w="110" w:type="dxa"/>
              <w:bottom w:w="100" w:type="dxa"/>
              <w:end w:w="110" w:type="dxa"/>
            </w:tcMar>
            <w:vAlign w:val="center"/>
          </w:tcPr>
          <w:p>
            <w:pPr>
              <w:spacing w:after="0" w:line="240" w:lineRule="auto"/>
              <w:jc w:val="center"/>
            </w:pPr>
            <w:r>
              <w:rPr>
                <w:rFonts w:ascii="Aptos" w:hAnsi="Aptos"/>
                <w:b/>
                <w:i w:val="0"/>
                <w:color w:val="113A5C"/>
                <w:sz w:val="17"/>
              </w:rPr>
              <w:t>Required assets</w:t>
            </w:r>
          </w:p>
        </w:tc>
      </w:tr>
      <w:tr>
        <w:tc>
          <w:tcPr>
            <w:tcW w:type="dxa" w:w="1800"/>
            <w:vAlign w:val="center"/>
            <w:tcMar>
              <w:top w:w="90" w:type="dxa"/>
              <w:start w:w="100" w:type="dxa"/>
              <w:bottom w:w="90" w:type="dxa"/>
              <w:end w:w="100" w:type="dxa"/>
            </w:tcMar>
          </w:tcPr>
          <w:p>
            <w:pPr>
              <w:spacing w:after="0" w:line="240" w:lineRule="auto"/>
              <w:jc w:val="center"/>
            </w:pPr>
            <w:r>
              <w:rPr>
                <w:rFonts w:ascii="Aptos" w:hAnsi="Aptos"/>
                <w:b w:val="0"/>
                <w:i w:val="0"/>
                <w:sz w:val="17"/>
              </w:rPr>
              <w:t>Contra Costa County</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7"/>
              </w:rPr>
              <w:t>special_inspections</w:t>
            </w:r>
          </w:p>
        </w:tc>
        <w:tc>
          <w:tcPr>
            <w:tcW w:type="dxa" w:w="1872"/>
            <w:vAlign w:val="center"/>
            <w:tcMar>
              <w:top w:w="90" w:type="dxa"/>
              <w:start w:w="100" w:type="dxa"/>
              <w:bottom w:w="90" w:type="dxa"/>
              <w:end w:w="100" w:type="dxa"/>
            </w:tcMar>
          </w:tcPr>
          <w:p>
            <w:pPr>
              <w:spacing w:after="0" w:line="240" w:lineRule="auto"/>
              <w:jc w:val="left"/>
            </w:pPr>
            <w:r>
              <w:rPr>
                <w:rFonts w:ascii="Aptos" w:hAnsi="Aptos"/>
                <w:b w:val="0"/>
                <w:i w:val="0"/>
                <w:sz w:val="17"/>
              </w:rPr>
              <w:t>pre_permit_packet</w:t>
            </w:r>
          </w:p>
        </w:tc>
        <w:tc>
          <w:tcPr>
            <w:tcW w:type="dxa" w:w="4032"/>
            <w:vAlign w:val="center"/>
            <w:tcMar>
              <w:top w:w="90" w:type="dxa"/>
              <w:start w:w="100" w:type="dxa"/>
              <w:bottom w:w="90" w:type="dxa"/>
              <w:end w:w="100" w:type="dxa"/>
            </w:tcMar>
          </w:tcPr>
          <w:p>
            <w:pPr>
              <w:spacing w:after="0" w:line="240" w:lineRule="auto"/>
              <w:jc w:val="left"/>
            </w:pPr>
            <w:r>
              <w:rPr>
                <w:rFonts w:ascii="Aptos" w:hAnsi="Aptos"/>
                <w:b w:val="0"/>
                <w:i w:val="0"/>
                <w:sz w:val="17"/>
              </w:rPr>
              <w:t>recognized_agencies_list; county program note; project-specific or city cover form as applicable</w:t>
            </w:r>
          </w:p>
        </w:tc>
      </w:tr>
      <w:tr>
        <w:tc>
          <w:tcPr>
            <w:tcW w:type="dxa" w:w="180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Marin County</w:t>
            </w:r>
          </w:p>
        </w:tc>
        <w:tc>
          <w:tcPr>
            <w:tcW w:type="dxa" w:w="194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special_inspections</w:t>
            </w:r>
          </w:p>
        </w:tc>
        <w:tc>
          <w:tcPr>
            <w:tcW w:type="dxa" w:w="18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pre_permit_trigger</w:t>
            </w:r>
          </w:p>
        </w:tc>
        <w:tc>
          <w:tcPr>
            <w:tcW w:type="dxa" w:w="403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building-permit checklist trigger; structural-drawing listing; city form if city jurisdiction applies</w:t>
            </w:r>
          </w:p>
        </w:tc>
      </w:tr>
      <w:tr>
        <w:tc>
          <w:tcPr>
            <w:tcW w:type="dxa" w:w="1800"/>
            <w:vAlign w:val="center"/>
            <w:tcMar>
              <w:top w:w="90" w:type="dxa"/>
              <w:start w:w="100" w:type="dxa"/>
              <w:bottom w:w="90" w:type="dxa"/>
              <w:end w:w="100" w:type="dxa"/>
            </w:tcMar>
          </w:tcPr>
          <w:p>
            <w:pPr>
              <w:spacing w:after="0" w:line="240" w:lineRule="auto"/>
              <w:jc w:val="center"/>
            </w:pPr>
            <w:r>
              <w:rPr>
                <w:rFonts w:ascii="Aptos" w:hAnsi="Aptos"/>
                <w:b w:val="0"/>
                <w:i w:val="0"/>
                <w:sz w:val="17"/>
              </w:rPr>
              <w:t>San Francisco</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7"/>
              </w:rPr>
              <w:t>special_inspections</w:t>
            </w:r>
          </w:p>
        </w:tc>
        <w:tc>
          <w:tcPr>
            <w:tcW w:type="dxa" w:w="1872"/>
            <w:vAlign w:val="center"/>
            <w:tcMar>
              <w:top w:w="90" w:type="dxa"/>
              <w:start w:w="100" w:type="dxa"/>
              <w:bottom w:w="90" w:type="dxa"/>
              <w:end w:w="100" w:type="dxa"/>
            </w:tcMar>
          </w:tcPr>
          <w:p>
            <w:pPr>
              <w:spacing w:after="0" w:line="240" w:lineRule="auto"/>
              <w:jc w:val="left"/>
            </w:pPr>
            <w:r>
              <w:rPr>
                <w:rFonts w:ascii="Aptos" w:hAnsi="Aptos"/>
                <w:b w:val="0"/>
                <w:i w:val="0"/>
                <w:sz w:val="17"/>
              </w:rPr>
              <w:t>pre_permit_packet</w:t>
            </w:r>
          </w:p>
        </w:tc>
        <w:tc>
          <w:tcPr>
            <w:tcW w:type="dxa" w:w="4032"/>
            <w:vAlign w:val="center"/>
            <w:tcMar>
              <w:top w:w="90" w:type="dxa"/>
              <w:start w:w="100" w:type="dxa"/>
              <w:bottom w:w="90" w:type="dxa"/>
              <w:end w:w="100" w:type="dxa"/>
            </w:tcMar>
          </w:tcPr>
          <w:p>
            <w:pPr>
              <w:spacing w:after="0" w:line="240" w:lineRule="auto"/>
              <w:jc w:val="left"/>
            </w:pPr>
            <w:r>
              <w:rPr>
                <w:rFonts w:ascii="Aptos" w:hAnsi="Aptos"/>
                <w:b w:val="0"/>
                <w:i w:val="0"/>
                <w:sz w:val="17"/>
              </w:rPr>
              <w:t>DBI special inspection and structural observation form; DBI process PDF; COI attestation rule</w:t>
            </w:r>
          </w:p>
        </w:tc>
      </w:tr>
      <w:tr>
        <w:tc>
          <w:tcPr>
            <w:tcW w:type="dxa" w:w="1800"/>
            <w:vAlign w:val="center"/>
            <w:tcMar>
              <w:top w:w="90" w:type="dxa"/>
              <w:start w:w="100" w:type="dxa"/>
              <w:bottom w:w="90" w:type="dxa"/>
              <w:end w:w="100" w:type="dxa"/>
            </w:tcMar>
            <w:shd w:fill="F8FBFD"/>
          </w:tcPr>
          <w:p>
            <w:pPr>
              <w:spacing w:after="0" w:line="240" w:lineRule="auto"/>
              <w:jc w:val="center"/>
            </w:pPr>
            <w:r>
              <w:rPr>
                <w:rFonts w:ascii="Aptos" w:hAnsi="Aptos"/>
                <w:b w:val="0"/>
                <w:i w:val="0"/>
                <w:sz w:val="17"/>
              </w:rPr>
              <w:t>Santa Clara County</w:t>
            </w:r>
          </w:p>
        </w:tc>
        <w:tc>
          <w:tcPr>
            <w:tcW w:type="dxa" w:w="1944"/>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special_inspections</w:t>
            </w:r>
          </w:p>
        </w:tc>
        <w:tc>
          <w:tcPr>
            <w:tcW w:type="dxa" w:w="187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pre_permit_packet</w:t>
            </w:r>
          </w:p>
        </w:tc>
        <w:tc>
          <w:tcPr>
            <w:tcW w:type="dxa" w:w="4032"/>
            <w:vAlign w:val="center"/>
            <w:tcMar>
              <w:top w:w="90" w:type="dxa"/>
              <w:start w:w="100" w:type="dxa"/>
              <w:bottom w:w="90" w:type="dxa"/>
              <w:end w:w="100" w:type="dxa"/>
            </w:tcMar>
            <w:shd w:fill="F8FBFD"/>
          </w:tcPr>
          <w:p>
            <w:pPr>
              <w:spacing w:after="0" w:line="240" w:lineRule="auto"/>
              <w:jc w:val="left"/>
            </w:pPr>
            <w:r>
              <w:rPr>
                <w:rFonts w:ascii="Aptos" w:hAnsi="Aptos"/>
                <w:b w:val="0"/>
                <w:i w:val="0"/>
                <w:sz w:val="17"/>
              </w:rPr>
              <w:t>short or long county form depending path; San Jose existing/new form when city jurisdiction applies</w:t>
            </w:r>
          </w:p>
        </w:tc>
      </w:tr>
      <w:tr>
        <w:tc>
          <w:tcPr>
            <w:tcW w:type="dxa" w:w="1800"/>
            <w:vAlign w:val="center"/>
            <w:tcMar>
              <w:top w:w="90" w:type="dxa"/>
              <w:start w:w="100" w:type="dxa"/>
              <w:bottom w:w="90" w:type="dxa"/>
              <w:end w:w="100" w:type="dxa"/>
            </w:tcMar>
          </w:tcPr>
          <w:p>
            <w:pPr>
              <w:spacing w:after="0" w:line="240" w:lineRule="auto"/>
              <w:jc w:val="center"/>
            </w:pPr>
            <w:r>
              <w:rPr>
                <w:rFonts w:ascii="Aptos" w:hAnsi="Aptos"/>
                <w:b w:val="0"/>
                <w:i w:val="0"/>
                <w:sz w:val="17"/>
              </w:rPr>
              <w:t>Statewide</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i w:val="0"/>
                <w:sz w:val="17"/>
              </w:rPr>
              <w:t>swppp_active_series</w:t>
            </w:r>
          </w:p>
        </w:tc>
        <w:tc>
          <w:tcPr>
            <w:tcW w:type="dxa" w:w="1872"/>
            <w:vAlign w:val="center"/>
            <w:tcMar>
              <w:top w:w="90" w:type="dxa"/>
              <w:start w:w="100" w:type="dxa"/>
              <w:bottom w:w="90" w:type="dxa"/>
              <w:end w:w="100" w:type="dxa"/>
            </w:tcMar>
          </w:tcPr>
          <w:p>
            <w:pPr>
              <w:spacing w:after="0" w:line="240" w:lineRule="auto"/>
              <w:jc w:val="left"/>
            </w:pPr>
            <w:r>
              <w:rPr>
                <w:rFonts w:ascii="Aptos" w:hAnsi="Aptos"/>
                <w:b w:val="0"/>
                <w:i w:val="0"/>
                <w:sz w:val="17"/>
              </w:rPr>
              <w:t>field_opening_conditions</w:t>
            </w:r>
          </w:p>
        </w:tc>
        <w:tc>
          <w:tcPr>
            <w:tcW w:type="dxa" w:w="4032"/>
            <w:vAlign w:val="center"/>
            <w:tcMar>
              <w:top w:w="90" w:type="dxa"/>
              <w:start w:w="100" w:type="dxa"/>
              <w:bottom w:w="90" w:type="dxa"/>
              <w:end w:w="100" w:type="dxa"/>
            </w:tcMar>
          </w:tcPr>
          <w:p>
            <w:pPr>
              <w:spacing w:after="0" w:line="240" w:lineRule="auto"/>
              <w:jc w:val="left"/>
            </w:pPr>
            <w:r>
              <w:rPr>
                <w:rFonts w:ascii="Aptos" w:hAnsi="Aptos"/>
                <w:b w:val="0"/>
                <w:i w:val="0"/>
                <w:sz w:val="17"/>
              </w:rPr>
              <w:t>WDID posting confirmation; SWPPP onsite availability; contacts; training roster</w:t>
            </w:r>
          </w:p>
        </w:tc>
      </w:tr>
    </w:tbl>
    <w:p>
      <w:pPr>
        <w:spacing w:after="120" w:before="0" w:line="276" w:lineRule="auto"/>
      </w:pPr>
    </w:p>
    <w:p>
      <w:pPr>
        <w:pStyle w:val="Heading1"/>
        <w:keepNext/>
        <w:spacing w:after="120" w:before="0" w:line="276" w:lineRule="auto"/>
      </w:pPr>
      <w:r>
        <w:rPr>
          <w:rFonts w:ascii="Aptos" w:hAnsi="Aptos"/>
          <w:b w:val="0"/>
          <w:i w:val="0"/>
          <w:sz w:val="22"/>
        </w:rPr>
        <w:t>Open questions and explicit ambiguities</w:t>
      </w:r>
    </w:p>
    <w:p>
      <w:pPr>
        <w:pStyle w:val="ListBullet"/>
        <w:spacing w:after="80" w:line="269" w:lineRule="auto"/>
      </w:pPr>
      <w:r>
        <w:rPr>
          <w:rFonts w:ascii="Aptos" w:hAnsi="Aptos"/>
          <w:b w:val="0"/>
          <w:i w:val="0"/>
          <w:sz w:val="22"/>
        </w:rPr>
        <w:t>Contra Costa now has county-level requirement and recognition-control anchors, but a countywide public cover form still has not been surfaced.</w:t>
      </w:r>
    </w:p>
    <w:p>
      <w:pPr>
        <w:pStyle w:val="ListBullet"/>
        <w:spacing w:after="80" w:line="269" w:lineRule="auto"/>
      </w:pPr>
      <w:r>
        <w:rPr>
          <w:rFonts w:ascii="Aptos" w:hAnsi="Aptos"/>
          <w:b w:val="0"/>
          <w:i w:val="0"/>
          <w:sz w:val="22"/>
        </w:rPr>
        <w:t>Marin now has a county-level trigger source, but not a standalone county cover form.</w:t>
      </w:r>
    </w:p>
    <w:p>
      <w:pPr>
        <w:pStyle w:val="ListBullet"/>
        <w:spacing w:after="80" w:line="269" w:lineRule="auto"/>
      </w:pPr>
      <w:r>
        <w:rPr>
          <w:rFonts w:ascii="Aptos" w:hAnsi="Aptos"/>
          <w:b w:val="0"/>
          <w:i w:val="0"/>
          <w:sz w:val="22"/>
        </w:rPr>
        <w:t>Some county trade-inspection flows are still page-led rather than direct-form-led.</w:t>
      </w:r>
    </w:p>
    <w:p>
      <w:pPr>
        <w:pStyle w:val="ListBullet"/>
        <w:spacing w:after="80" w:line="269" w:lineRule="auto"/>
      </w:pPr>
      <w:r>
        <w:rPr>
          <w:rFonts w:ascii="Aptos" w:hAnsi="Aptos"/>
          <w:b w:val="0"/>
          <w:i w:val="0"/>
          <w:sz w:val="22"/>
        </w:rPr>
        <w:t>Portal-native workflows such as SMARTS filings remain action-and-evidence flows even when no local mirror PDF exists.</w:t>
      </w:r>
    </w:p>
    <w:sectPr w:rsidR="00FC693F" w:rsidRPr="0006063C" w:rsidSect="00034616">
      <w:headerReference w:type="default" r:id="rId9"/>
      <w:footerReference w:type="default" r:id="rId10"/>
      <w:pgSz w:w="12240" w:h="15840"/>
      <w:pgMar w:top="1008"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77777"/>
        <w:sz w:val="18"/>
      </w:rPr>
      <w:t>Inspection.OS - working source set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8"/>
      </w:rPr>
      <w:t>Inspection.OS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C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D3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3A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