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i w:val="0"/>
          <w:color w:val="113A5C"/>
          <w:sz w:val="48"/>
        </w:rPr>
        <w:t>Inspection.OS</w:t>
      </w:r>
    </w:p>
    <w:p>
      <w:pPr>
        <w:jc w:val="center"/>
      </w:pPr>
      <w:r>
        <w:rPr>
          <w:rFonts w:ascii="Aptos" w:hAnsi="Aptos"/>
          <w:b w:val="0"/>
          <w:i w:val="0"/>
          <w:color w:val="4D5C67"/>
          <w:sz w:val="26"/>
        </w:rPr>
        <w:t>Upgrade Register, Template-Pack, and Schema Companion</w:t>
      </w:r>
    </w:p>
    <w:p>
      <w:pPr>
        <w:jc w:val="center"/>
      </w:pPr>
      <w:r>
        <w:rPr>
          <w:rFonts w:ascii="Aptos" w:hAnsi="Aptos"/>
          <w:b w:val="0"/>
          <w:i w:val="0"/>
          <w:color w:val="777777"/>
          <w:sz w:val="21"/>
        </w:rPr>
        <w:t>Working draft v1.0 - March 22,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35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  <w:jc w:val="left"/>
            </w:pPr>
            <w:r>
              <w:rPr>
                <w:rFonts w:ascii="Aptos" w:hAnsi="Aptos"/>
                <w:b w:val="0"/>
                <w:i w:val="0"/>
                <w:color w:val="2F3A40"/>
                <w:sz w:val="21"/>
              </w:rPr>
              <w:t>Purpose: capture implemented upgrades to PDFs, indices, schemas, and template-pack logic in one operational companion.</w:t>
            </w:r>
          </w:p>
          <w:p>
            <w:pPr>
              <w:spacing w:after="80"/>
              <w:jc w:val="left"/>
            </w:pPr>
            <w:r>
              <w:rPr>
                <w:rFonts w:ascii="Aptos" w:hAnsi="Aptos"/>
                <w:b w:val="0"/>
                <w:i w:val="0"/>
                <w:color w:val="2F3A40"/>
                <w:sz w:val="21"/>
              </w:rPr>
              <w:t>Use: seed-loader planning, admin-library design, and release-readiness tracking.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Document type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Companion implementation reference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Version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v1.0 working draft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Date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2026-03-22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Primary geography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9 Bay Area counties, with city and agency variants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Secondary geography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Northern California expansion under same architecture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20" w:line="259" w:lineRule="auto"/>
            </w:pPr>
            <w:r>
              <w:rPr>
                <w:rFonts w:ascii="Aptos" w:hAnsi="Aptos"/>
                <w:b/>
                <w:i w:val="0"/>
                <w:color w:val="113A5C"/>
                <w:sz w:val="20"/>
              </w:rPr>
              <w:t>Always-on programs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9" w:lineRule="auto"/>
            </w:pPr>
            <w:r>
              <w:rPr>
                <w:rFonts w:ascii="Aptos" w:hAnsi="Aptos"/>
                <w:b w:val="0"/>
                <w:i w:val="0"/>
                <w:sz w:val="20"/>
              </w:rPr>
              <w:t>California statewide permit, safety, environmental, and reporting frameworks</w:t>
            </w:r>
          </w:p>
        </w:tc>
      </w:tr>
    </w:tbl>
    <w:p>
      <w:pPr>
        <w:pStyle w:val="Heading3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Source basis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Inspection.OS.txt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InspectionOS_Full_Binder_2026-03-21 (1).pdf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InspectionOS_BayArea_Next_Pass_Binder_2026-03-21.pdf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InspectionOS_MVP_App_Native_Schema_Tables_2026-03-21.pdf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[COUNTY-Marin]_Building-Permit-Submittal-Checklist_Special-Inspection-Trigger.pdf</w:t>
      </w:r>
    </w:p>
    <w:p>
      <w:pPr>
        <w:pStyle w:val="ListBullet"/>
        <w:spacing w:after="40" w:line="269" w:lineRule="auto"/>
      </w:pPr>
      <w:r>
        <w:rPr>
          <w:rFonts w:ascii="Aptos" w:hAnsi="Aptos"/>
          <w:b w:val="0"/>
          <w:i w:val="0"/>
          <w:sz w:val="22"/>
        </w:rPr>
        <w:t>[COUNTY-Contra-Costa]_Special-Inspections-Program-and-Recognized-Agencies.pdf</w:t>
      </w:r>
    </w:p>
    <w:p>
      <w:pPr>
        <w:spacing w:after="120" w:before="0" w:line="276" w:lineRule="auto"/>
      </w:pPr>
    </w:p>
    <w:p>
      <w:pPr>
        <w:pStyle w:val="Heading1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Upgrade register and implementation companion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This companion collapses the prior PDF-only upgrade notes into one implementation-facing reference. Its purpose is to ensure that the changes described in the binder, next-pass review, and schema tables are reflected in the live source set rather than left as narrative suggestions.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Upgrade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Area</w:t>
            </w:r>
          </w:p>
        </w:tc>
        <w:tc>
          <w:tcPr>
            <w:tcW w:type="dxa" w:w="3672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Prior condition</w:t>
            </w:r>
          </w:p>
        </w:tc>
        <w:tc>
          <w:tcPr>
            <w:tcW w:type="dxa" w:w="4104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Upgrade now locked into source set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SWPPP logic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Checklist-centric and under-modeled at lifecycle boundaries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Modeled as entry-to-closeout state machine with explicit opening and closing gates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Forms library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Document-centric and uneven by county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Controlled forms library with packet roles, verification statuses, and fingerprints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County coverage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Some counties depended on gap notes only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Marin and Contra Costa promoted to stronger county anchors; Sonoma CNI-043 hardened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Schema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Narrative model only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Normalized runtime tables and seed-loader recommendation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Template packs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Useful but not explicitly lifecycle-bound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Pack taxonomy organized by program family and lifecycle stage</w:t>
            </w:r>
          </w:p>
        </w:tc>
      </w:tr>
    </w:tbl>
    <w:p>
      <w:pPr>
        <w:spacing w:after="120" w:before="0" w:line="276" w:lineRule="auto"/>
      </w:pP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Seed-loader package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Loader 1: jurisdictions and agencies.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Loader 2: source records and form records from controlled forms library.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Loader 3: jurisdiction_packet_rule and task_cadence_rule rows keyed by inspection_type and workflow_stage.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Loader 4 (recommended): template-family manifest loader that binds internal-use template shells to program family and lifecycle stage.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Template pack manifest structure</w:t>
      </w: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Manifest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Column</w:t>
            </w:r>
          </w:p>
        </w:tc>
        <w:tc>
          <w:tcPr>
            <w:tcW w:type="dxa" w:w="6912"/>
            <w:shd w:fill="DCEAF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13A5C"/>
                <w:sz w:val="17"/>
              </w:rPr>
              <w:t>Meaning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pack_code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Stable program-family identifier such as swppp, special_inspections, dust_control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template_code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Stable template identifier such as swppp_pre_qpe or special_inspection_weekly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lifecycle_stage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Enrollment, pre_permit_packet, active_series, annual_reporting, closeout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default_evidence_rules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Photo, signature, attachment, or reviewer requirements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generated_packet_role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inspection_report, issue_packet, compliance_packet_cover, closeout_form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jurisdiction_binding_mode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BFD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statewide, county, city, regional, hybrid</w:t>
            </w:r>
          </w:p>
        </w:tc>
      </w:tr>
    </w:tbl>
    <w:p>
      <w:pPr>
        <w:spacing w:after="120" w:before="0" w:line="276" w:lineRule="auto"/>
      </w:pPr>
    </w:p>
    <w:p>
      <w:pPr>
        <w:pStyle w:val="Heading2"/>
        <w:keepNext/>
        <w:spacing w:after="120" w:before="0" w:line="276" w:lineRule="auto"/>
      </w:pPr>
      <w:r>
        <w:rPr>
          <w:rFonts w:ascii="Aptos" w:hAnsi="Aptos"/>
          <w:b w:val="0"/>
          <w:i w:val="0"/>
          <w:sz w:val="22"/>
        </w:rPr>
        <w:t>Immediate implementation queue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Convert current controlled-library PDF references into seed JSON / YAML for runtime ingestion.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Author internal-use template shells as structured forms rather than only as flat PDFs.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Build admin screens that expose verification status, packet role, source type, and fingerprint.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Create county acceptance tests that validate at least one special-inspection path and one trade-scheduling path per county group.</w:t>
      </w:r>
    </w:p>
    <w:p>
      <w:pPr>
        <w:pStyle w:val="ListBullet"/>
        <w:spacing w:after="80" w:line="269" w:lineRule="auto"/>
      </w:pPr>
      <w:r>
        <w:rPr>
          <w:rFonts w:ascii="Aptos" w:hAnsi="Aptos"/>
          <w:b w:val="0"/>
          <w:i w:val="0"/>
          <w:sz w:val="22"/>
        </w:rPr>
        <w:t>Keep unresolved county cover forms visible as explicit backlog items, not silent omissions.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77777"/>
        <w:sz w:val="18"/>
      </w:rPr>
      <w:t>Inspection.OS - working source set - March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8"/>
      </w:rPr>
      <w:t>Inspection.OS Companion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3A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C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D3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3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