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DE3B" w14:textId="77777777" w:rsidR="00BF47CC" w:rsidRDefault="00BF47CC"/>
    <w:p w14:paraId="5FA8AE6F" w14:textId="559E0E3A" w:rsidR="00375F46" w:rsidRDefault="00375F46" w:rsidP="008C427A">
      <w:pPr>
        <w:pStyle w:val="Heading1"/>
        <w:rPr>
          <w:u w:val="single"/>
        </w:rPr>
      </w:pPr>
      <w:r>
        <w:rPr>
          <w:u w:val="single"/>
        </w:rPr>
        <w:t>Egyptian Personal Remittances</w:t>
      </w:r>
    </w:p>
    <w:p w14:paraId="03B3B0DE" w14:textId="34269937" w:rsidR="00375F46" w:rsidRDefault="00375F46" w:rsidP="00375F46">
      <w:r w:rsidRPr="00375F46">
        <w:rPr>
          <w:rStyle w:val="Strong"/>
        </w:rPr>
        <w:t>Personal Remittances:</w:t>
      </w:r>
      <w:r>
        <w:t xml:space="preserve"> </w:t>
      </w:r>
      <w:hyperlink r:id="rId6" w:history="1">
        <w:r w:rsidRPr="00DE6AB5">
          <w:rPr>
            <w:rStyle w:val="Hyperlink"/>
          </w:rPr>
          <w:t>https://data.worldbank.org/indicator/BX.TRF.PWKR.DT.GD.ZS?locations=EG</w:t>
        </w:r>
      </w:hyperlink>
    </w:p>
    <w:p w14:paraId="1DD7C5FE" w14:textId="6F25319E" w:rsidR="00375F46" w:rsidRDefault="00375F46" w:rsidP="00375F46">
      <w:pPr>
        <w:ind w:left="720"/>
      </w:pPr>
      <w:r w:rsidRPr="00375F46">
        <w:rPr>
          <w:rStyle w:val="Strong"/>
        </w:rPr>
        <w:t xml:space="preserve">Download Data: </w:t>
      </w:r>
      <w:hyperlink r:id="rId7" w:history="1">
        <w:r w:rsidRPr="00DE6AB5">
          <w:rPr>
            <w:rStyle w:val="Hyperlink"/>
          </w:rPr>
          <w:t>https://api.worldbank.org/v2/en/indicator/BX.TRF.PWKR.DT.GD.ZS?downloadformat=csv</w:t>
        </w:r>
      </w:hyperlink>
    </w:p>
    <w:p w14:paraId="05426EE1" w14:textId="77777777" w:rsidR="00375F46" w:rsidRDefault="00375F46" w:rsidP="00375F46">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375F46" w14:paraId="4D77FD41"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0A456CC" w14:textId="77777777" w:rsidR="00375F46" w:rsidRDefault="00375F46" w:rsidP="00432F43">
            <w:pPr>
              <w:rPr>
                <w:rFonts w:ascii="Aptos Narrow" w:hAnsi="Aptos Narrow"/>
                <w:color w:val="000000"/>
              </w:rPr>
            </w:pPr>
          </w:p>
        </w:tc>
        <w:tc>
          <w:tcPr>
            <w:tcW w:w="4074" w:type="dxa"/>
          </w:tcPr>
          <w:p w14:paraId="1BA2BEA2" w14:textId="77777777" w:rsidR="00375F46" w:rsidRDefault="00375F46"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C2BE139"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F3B8D7E" w14:textId="77777777" w:rsidR="00375F46" w:rsidRPr="00176E41" w:rsidRDefault="00375F46" w:rsidP="00432F43">
            <w:pPr>
              <w:rPr>
                <w:rFonts w:ascii="Aptos Narrow" w:hAnsi="Aptos Narrow"/>
                <w:color w:val="000000"/>
              </w:rPr>
            </w:pPr>
            <w:r>
              <w:rPr>
                <w:rFonts w:ascii="Aptos Narrow" w:hAnsi="Aptos Narrow"/>
                <w:caps w:val="0"/>
                <w:color w:val="000000"/>
              </w:rPr>
              <w:t>Indicator_Code</w:t>
            </w:r>
          </w:p>
        </w:tc>
        <w:tc>
          <w:tcPr>
            <w:tcW w:w="4074" w:type="dxa"/>
          </w:tcPr>
          <w:p w14:paraId="6D0D21DF"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BX.TRF.PWKR.DT.GD.ZS</w:t>
            </w:r>
          </w:p>
          <w:p w14:paraId="47CA04ED"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4FBDE2E9"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A6C1B7A" w14:textId="77777777" w:rsidR="00375F46" w:rsidRPr="00176E41" w:rsidRDefault="00375F46" w:rsidP="00432F43">
            <w:pPr>
              <w:rPr>
                <w:rFonts w:ascii="Aptos Narrow" w:hAnsi="Aptos Narrow"/>
                <w:color w:val="000000"/>
              </w:rPr>
            </w:pPr>
            <w:r>
              <w:rPr>
                <w:rFonts w:ascii="Aptos Narrow" w:hAnsi="Aptos Narrow"/>
                <w:caps w:val="0"/>
                <w:color w:val="000000"/>
              </w:rPr>
              <w:t>Indicator_Name</w:t>
            </w:r>
          </w:p>
        </w:tc>
        <w:tc>
          <w:tcPr>
            <w:tcW w:w="4074" w:type="dxa"/>
          </w:tcPr>
          <w:p w14:paraId="377B2700"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 of GDP)</w:t>
            </w:r>
          </w:p>
          <w:p w14:paraId="58ABBEA7" w14:textId="77777777"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5336B1F"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2B6E11B" w14:textId="77777777" w:rsidR="00375F46" w:rsidRPr="00176E41" w:rsidRDefault="00375F46" w:rsidP="00432F43">
            <w:pPr>
              <w:rPr>
                <w:rFonts w:ascii="Aptos Narrow" w:hAnsi="Aptos Narrow"/>
                <w:color w:val="000000"/>
              </w:rPr>
            </w:pPr>
            <w:r>
              <w:rPr>
                <w:rFonts w:ascii="Aptos Narrow" w:hAnsi="Aptos Narrow"/>
                <w:caps w:val="0"/>
                <w:color w:val="000000"/>
              </w:rPr>
              <w:t>Source_Note</w:t>
            </w:r>
          </w:p>
        </w:tc>
        <w:tc>
          <w:tcPr>
            <w:tcW w:w="4074" w:type="dxa"/>
          </w:tcPr>
          <w:p w14:paraId="18992DEB"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r>
          </w:p>
          <w:p w14:paraId="37CF4268"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7EB5C7C2"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0A147D9" w14:textId="77777777" w:rsidR="00375F46" w:rsidRDefault="00375F46" w:rsidP="00432F43">
            <w:pPr>
              <w:rPr>
                <w:rFonts w:ascii="Aptos Narrow" w:hAnsi="Aptos Narrow"/>
                <w:color w:val="000000"/>
              </w:rPr>
            </w:pPr>
            <w:r>
              <w:rPr>
                <w:rFonts w:ascii="Aptos Narrow" w:hAnsi="Aptos Narrow"/>
                <w:caps w:val="0"/>
                <w:color w:val="000000"/>
              </w:rPr>
              <w:t>Source_Organization</w:t>
            </w:r>
          </w:p>
        </w:tc>
        <w:tc>
          <w:tcPr>
            <w:tcW w:w="4074" w:type="dxa"/>
          </w:tcPr>
          <w:p w14:paraId="6AB5D933"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 and World Bank and OECD GDP estimates.</w:t>
            </w:r>
          </w:p>
          <w:p w14:paraId="064E2388" w14:textId="251F6E76"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305C924" w14:textId="1EBD55E4" w:rsidR="00375F46" w:rsidRPr="00375F46" w:rsidRDefault="00375F46" w:rsidP="00375F46"/>
    <w:p w14:paraId="21EF3B4A" w14:textId="53F7ACB0" w:rsidR="008C427A" w:rsidRDefault="008C427A" w:rsidP="008C427A">
      <w:pPr>
        <w:pStyle w:val="Heading1"/>
        <w:rPr>
          <w:u w:val="single"/>
        </w:rPr>
      </w:pPr>
      <w:r w:rsidRPr="008C427A">
        <w:rPr>
          <w:u w:val="single"/>
        </w:rPr>
        <w:t>Real Effective Exchange Rate (REER)</w:t>
      </w:r>
    </w:p>
    <w:p w14:paraId="26422321" w14:textId="77777777" w:rsidR="008C427A" w:rsidRDefault="008C427A" w:rsidP="008C427A"/>
    <w:p w14:paraId="0F1F757A" w14:textId="6C5979B5" w:rsidR="008C427A" w:rsidRDefault="008C427A" w:rsidP="008C427A">
      <w:r>
        <w:rPr>
          <w:rStyle w:val="Strong"/>
        </w:rPr>
        <w:t xml:space="preserve">Real Effective Exchange Rate: </w:t>
      </w:r>
      <w:hyperlink r:id="rId8" w:history="1">
        <w:r w:rsidRPr="00DE6AB5">
          <w:rPr>
            <w:rStyle w:val="Hyperlink"/>
          </w:rPr>
          <w:t>https://data.worldbank.org/indicator/PX.REX.REER?locations=EG</w:t>
        </w:r>
      </w:hyperlink>
    </w:p>
    <w:p w14:paraId="6E96DBB3" w14:textId="0C720F34" w:rsidR="008C427A" w:rsidRDefault="008C427A" w:rsidP="008C427A">
      <w:pPr>
        <w:ind w:left="630"/>
      </w:pPr>
      <w:r w:rsidRPr="008C427A">
        <w:rPr>
          <w:rStyle w:val="Strong"/>
        </w:rPr>
        <w:lastRenderedPageBreak/>
        <w:t>Download Raw Data:</w:t>
      </w:r>
      <w:r>
        <w:t xml:space="preserve"> </w:t>
      </w:r>
      <w:hyperlink r:id="rId9" w:history="1">
        <w:r w:rsidRPr="00DE6AB5">
          <w:rPr>
            <w:rStyle w:val="Hyperlink"/>
          </w:rPr>
          <w:t>https://api.worldbank.org/v2/en/indicator/PX.REX.REER?downloadformat=csv</w:t>
        </w:r>
      </w:hyperlink>
    </w:p>
    <w:p w14:paraId="7F6C943C" w14:textId="1F670A89" w:rsidR="00176E41" w:rsidRDefault="00176E41" w:rsidP="008C427A">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76E41" w14:paraId="7E4CA147" w14:textId="77777777" w:rsidTr="00176E41">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74C92DF" w14:textId="77777777" w:rsidR="00176E41" w:rsidRDefault="00176E41" w:rsidP="008C427A">
            <w:pPr>
              <w:rPr>
                <w:rFonts w:ascii="Aptos Narrow" w:hAnsi="Aptos Narrow"/>
                <w:color w:val="000000"/>
              </w:rPr>
            </w:pPr>
          </w:p>
        </w:tc>
        <w:tc>
          <w:tcPr>
            <w:tcW w:w="4074" w:type="dxa"/>
          </w:tcPr>
          <w:p w14:paraId="4FAB6B9F" w14:textId="77777777" w:rsidR="00176E41" w:rsidRDefault="00176E41" w:rsidP="008C427A">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F2AFBC1" w14:textId="77777777" w:rsidTr="00176E4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EDC783D" w14:textId="11DA6B96" w:rsidR="00176E41" w:rsidRPr="00176E41" w:rsidRDefault="00176E41" w:rsidP="008C427A">
            <w:pPr>
              <w:rPr>
                <w:rFonts w:ascii="Aptos Narrow" w:hAnsi="Aptos Narrow"/>
                <w:color w:val="000000"/>
              </w:rPr>
            </w:pPr>
            <w:r>
              <w:rPr>
                <w:rFonts w:ascii="Aptos Narrow" w:hAnsi="Aptos Narrow"/>
                <w:caps w:val="0"/>
                <w:color w:val="000000"/>
              </w:rPr>
              <w:t>Indicator_Code</w:t>
            </w:r>
          </w:p>
        </w:tc>
        <w:tc>
          <w:tcPr>
            <w:tcW w:w="4074" w:type="dxa"/>
          </w:tcPr>
          <w:p w14:paraId="6FB85452"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PX.REX.REER</w:t>
            </w:r>
          </w:p>
          <w:p w14:paraId="4AFDA18A" w14:textId="32FCFAD5"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1D7A3365" w14:textId="77777777" w:rsidTr="00176E41">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F09060A" w14:textId="4C0B91D8" w:rsidR="00176E41" w:rsidRPr="00176E41" w:rsidRDefault="00176E41" w:rsidP="00176E41">
            <w:pPr>
              <w:rPr>
                <w:rFonts w:ascii="Aptos Narrow" w:hAnsi="Aptos Narrow"/>
                <w:color w:val="000000"/>
              </w:rPr>
            </w:pPr>
            <w:r>
              <w:rPr>
                <w:rFonts w:ascii="Aptos Narrow" w:hAnsi="Aptos Narrow"/>
                <w:caps w:val="0"/>
                <w:color w:val="000000"/>
              </w:rPr>
              <w:t>Indicator_Name</w:t>
            </w:r>
          </w:p>
        </w:tc>
        <w:tc>
          <w:tcPr>
            <w:tcW w:w="4074" w:type="dxa"/>
          </w:tcPr>
          <w:p w14:paraId="2D78A04D" w14:textId="77777777" w:rsid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index (2010 = 100)</w:t>
            </w:r>
          </w:p>
          <w:p w14:paraId="083968E8" w14:textId="4AF9228D"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01658EE" w14:textId="77777777" w:rsidTr="00176E41">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4127C7C" w14:textId="209456DA" w:rsidR="00176E41" w:rsidRPr="00176E41" w:rsidRDefault="00176E41" w:rsidP="008C427A">
            <w:pPr>
              <w:rPr>
                <w:rFonts w:ascii="Aptos Narrow" w:hAnsi="Aptos Narrow"/>
                <w:color w:val="000000"/>
              </w:rPr>
            </w:pPr>
            <w:r>
              <w:rPr>
                <w:rFonts w:ascii="Aptos Narrow" w:hAnsi="Aptos Narrow"/>
                <w:caps w:val="0"/>
                <w:color w:val="000000"/>
              </w:rPr>
              <w:t>Source_Note</w:t>
            </w:r>
          </w:p>
        </w:tc>
        <w:tc>
          <w:tcPr>
            <w:tcW w:w="4074" w:type="dxa"/>
          </w:tcPr>
          <w:p w14:paraId="50DEEFB7"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is the nominal effective exchange rate (a measure of the value of a currency against a weighted average of several foreign currencies) divided by a price deflator or index of costs.</w:t>
            </w:r>
          </w:p>
          <w:p w14:paraId="043E963D" w14:textId="54E3BC68"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5D3B6686" w14:textId="77777777" w:rsidTr="00176E41">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800F2E6" w14:textId="7C5C982F" w:rsidR="00176E41" w:rsidRDefault="00176E41" w:rsidP="008C427A">
            <w:pPr>
              <w:rPr>
                <w:rFonts w:ascii="Aptos Narrow" w:hAnsi="Aptos Narrow"/>
                <w:color w:val="000000"/>
              </w:rPr>
            </w:pPr>
            <w:r>
              <w:rPr>
                <w:rFonts w:ascii="Aptos Narrow" w:hAnsi="Aptos Narrow"/>
                <w:caps w:val="0"/>
                <w:color w:val="000000"/>
              </w:rPr>
              <w:t>Source_Organization</w:t>
            </w:r>
          </w:p>
        </w:tc>
        <w:tc>
          <w:tcPr>
            <w:tcW w:w="4074" w:type="dxa"/>
          </w:tcPr>
          <w:p w14:paraId="37734C1B" w14:textId="388B590B"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w:t>
            </w:r>
          </w:p>
        </w:tc>
      </w:tr>
    </w:tbl>
    <w:p w14:paraId="188C2506" w14:textId="77777777" w:rsidR="00176E41" w:rsidRDefault="00176E41" w:rsidP="008C427A">
      <w:pPr>
        <w:ind w:left="630"/>
      </w:pPr>
    </w:p>
    <w:p w14:paraId="5D026181" w14:textId="01BEE323" w:rsidR="008C427A" w:rsidRDefault="008F7602" w:rsidP="008F7602">
      <w:pPr>
        <w:pStyle w:val="Heading1"/>
        <w:rPr>
          <w:rStyle w:val="Strong"/>
          <w:u w:val="single"/>
        </w:rPr>
      </w:pPr>
      <w:r w:rsidRPr="008F7602">
        <w:rPr>
          <w:rStyle w:val="Strong"/>
          <w:u w:val="single"/>
        </w:rPr>
        <w:t>Inflation Rate (Percent)</w:t>
      </w:r>
    </w:p>
    <w:p w14:paraId="430B997F" w14:textId="77777777" w:rsidR="008F7602" w:rsidRDefault="008F7602" w:rsidP="008F7602"/>
    <w:p w14:paraId="07EBADB8" w14:textId="6D8589C4" w:rsidR="008F7602" w:rsidRDefault="008F7602" w:rsidP="008F7602">
      <w:r w:rsidRPr="008F7602">
        <w:rPr>
          <w:rStyle w:val="Strong"/>
        </w:rPr>
        <w:t>Inflation Rate (Percent):</w:t>
      </w:r>
      <w:r>
        <w:t xml:space="preserve"> </w:t>
      </w:r>
      <w:hyperlink r:id="rId10" w:history="1">
        <w:r w:rsidRPr="00DE6AB5">
          <w:rPr>
            <w:rStyle w:val="Hyperlink"/>
          </w:rPr>
          <w:t>https://data.worldbank.org/indicator/FP.CPI.TOTL.ZG?locations=EG</w:t>
        </w:r>
      </w:hyperlink>
    </w:p>
    <w:p w14:paraId="0CEC5669" w14:textId="1BF8FDCA" w:rsidR="008F7602" w:rsidRDefault="008F7602" w:rsidP="008F7602">
      <w:r>
        <w:tab/>
      </w:r>
      <w:r w:rsidRPr="008F7602">
        <w:rPr>
          <w:rStyle w:val="Strong"/>
        </w:rPr>
        <w:t>Download Data:</w:t>
      </w:r>
      <w:r>
        <w:t xml:space="preserve"> </w:t>
      </w:r>
      <w:hyperlink r:id="rId11" w:history="1">
        <w:r w:rsidRPr="00DE6AB5">
          <w:rPr>
            <w:rStyle w:val="Hyperlink"/>
          </w:rPr>
          <w:t>https://api.worldbank.org/v2/en/indicator/FP.CPI.TOTL.ZG?downloadformat=csv</w:t>
        </w:r>
      </w:hyperlink>
    </w:p>
    <w:p w14:paraId="50EC01EF" w14:textId="22565A8D" w:rsidR="008F7602" w:rsidRPr="008F7602" w:rsidRDefault="008F7602" w:rsidP="008F7602">
      <w:pPr>
        <w:rPr>
          <w:b/>
          <w:bCs/>
        </w:rPr>
      </w:pPr>
      <w:r>
        <w:tab/>
      </w:r>
      <w:r w:rsidRPr="008F7602">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8F7602" w14:paraId="2FF579C9"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0912FDC7" w14:textId="77777777" w:rsidR="008F7602" w:rsidRDefault="008F7602" w:rsidP="00432F43">
            <w:pPr>
              <w:rPr>
                <w:rFonts w:ascii="Aptos Narrow" w:hAnsi="Aptos Narrow"/>
                <w:color w:val="000000"/>
              </w:rPr>
            </w:pPr>
          </w:p>
        </w:tc>
        <w:tc>
          <w:tcPr>
            <w:tcW w:w="4074" w:type="dxa"/>
          </w:tcPr>
          <w:p w14:paraId="389E6780" w14:textId="77777777" w:rsidR="008F7602" w:rsidRDefault="008F7602"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018AB35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74DD727" w14:textId="77777777" w:rsidR="008F7602" w:rsidRPr="00176E41" w:rsidRDefault="008F7602" w:rsidP="00432F43">
            <w:pPr>
              <w:rPr>
                <w:rFonts w:ascii="Aptos Narrow" w:hAnsi="Aptos Narrow"/>
                <w:color w:val="000000"/>
              </w:rPr>
            </w:pPr>
            <w:r>
              <w:rPr>
                <w:rFonts w:ascii="Aptos Narrow" w:hAnsi="Aptos Narrow"/>
                <w:caps w:val="0"/>
                <w:color w:val="000000"/>
              </w:rPr>
              <w:t>Indicator_Code</w:t>
            </w:r>
          </w:p>
        </w:tc>
        <w:tc>
          <w:tcPr>
            <w:tcW w:w="4074" w:type="dxa"/>
          </w:tcPr>
          <w:p w14:paraId="5539281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FP.CPI.TOTL.ZG</w:t>
            </w:r>
          </w:p>
          <w:p w14:paraId="486C65D0"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5881ECE"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0E92C7" w14:textId="77777777" w:rsidR="008F7602" w:rsidRPr="00176E41" w:rsidRDefault="008F7602" w:rsidP="00432F43">
            <w:pPr>
              <w:rPr>
                <w:rFonts w:ascii="Aptos Narrow" w:hAnsi="Aptos Narrow"/>
                <w:color w:val="000000"/>
              </w:rPr>
            </w:pPr>
            <w:r>
              <w:rPr>
                <w:rFonts w:ascii="Aptos Narrow" w:hAnsi="Aptos Narrow"/>
                <w:caps w:val="0"/>
                <w:color w:val="000000"/>
              </w:rPr>
              <w:t>Indicator_Name</w:t>
            </w:r>
          </w:p>
        </w:tc>
        <w:tc>
          <w:tcPr>
            <w:tcW w:w="4074" w:type="dxa"/>
          </w:tcPr>
          <w:p w14:paraId="09E5C28E"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Inflation, consumer prices (annual %)</w:t>
            </w:r>
          </w:p>
          <w:p w14:paraId="14DEE1C6" w14:textId="77777777"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7CFC4369"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12128F51" w14:textId="77777777" w:rsidR="008F7602" w:rsidRPr="00176E41" w:rsidRDefault="008F7602" w:rsidP="00432F43">
            <w:pPr>
              <w:rPr>
                <w:rFonts w:ascii="Aptos Narrow" w:hAnsi="Aptos Narrow"/>
                <w:color w:val="000000"/>
              </w:rPr>
            </w:pPr>
            <w:r>
              <w:rPr>
                <w:rFonts w:ascii="Aptos Narrow" w:hAnsi="Aptos Narrow"/>
                <w:caps w:val="0"/>
                <w:color w:val="000000"/>
              </w:rPr>
              <w:t>Source_Note</w:t>
            </w:r>
          </w:p>
        </w:tc>
        <w:tc>
          <w:tcPr>
            <w:tcW w:w="4074" w:type="dxa"/>
          </w:tcPr>
          <w:p w14:paraId="37B315A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p w14:paraId="3B49101F"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CD9F74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4B2FE4A" w14:textId="77777777" w:rsidR="008F7602" w:rsidRDefault="008F7602" w:rsidP="00432F43">
            <w:pPr>
              <w:rPr>
                <w:rFonts w:ascii="Aptos Narrow" w:hAnsi="Aptos Narrow"/>
                <w:color w:val="000000"/>
              </w:rPr>
            </w:pPr>
            <w:r>
              <w:rPr>
                <w:rFonts w:ascii="Aptos Narrow" w:hAnsi="Aptos Narrow"/>
                <w:caps w:val="0"/>
                <w:color w:val="000000"/>
              </w:rPr>
              <w:t>Source_Organization</w:t>
            </w:r>
          </w:p>
        </w:tc>
        <w:tc>
          <w:tcPr>
            <w:tcW w:w="4074" w:type="dxa"/>
          </w:tcPr>
          <w:p w14:paraId="60457D46"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data files.</w:t>
            </w:r>
          </w:p>
          <w:p w14:paraId="11D2537F" w14:textId="7EB8A8D6"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E4A1797" w14:textId="10817180" w:rsidR="008F7602" w:rsidRDefault="008F7602" w:rsidP="008F7602"/>
    <w:p w14:paraId="060C658C" w14:textId="24A47601" w:rsidR="00F10604" w:rsidRPr="00F10604" w:rsidRDefault="00F10604" w:rsidP="00F10604">
      <w:pPr>
        <w:pStyle w:val="Heading1"/>
        <w:rPr>
          <w:u w:val="single"/>
        </w:rPr>
      </w:pPr>
      <w:r w:rsidRPr="00F10604">
        <w:rPr>
          <w:u w:val="single"/>
        </w:rPr>
        <w:t>International Migrant Stock</w:t>
      </w:r>
    </w:p>
    <w:p w14:paraId="166B49CF" w14:textId="3324C9BC" w:rsidR="00F10604" w:rsidRDefault="00F10604" w:rsidP="008F7602">
      <w:r w:rsidRPr="00F10604">
        <w:rPr>
          <w:rStyle w:val="Strong"/>
        </w:rPr>
        <w:t>International Migrant Stock (UN):</w:t>
      </w:r>
      <w:r>
        <w:t xml:space="preserve"> </w:t>
      </w:r>
      <w:hyperlink r:id="rId12" w:history="1">
        <w:r w:rsidRPr="00DE6AB5">
          <w:rPr>
            <w:rStyle w:val="Hyperlink"/>
          </w:rPr>
          <w:t>https://www.un.org/development/desa/pd/content/international-migrant-stock</w:t>
        </w:r>
      </w:hyperlink>
    </w:p>
    <w:p w14:paraId="1A664218" w14:textId="01B6E325" w:rsidR="00F10604" w:rsidRDefault="00F10604" w:rsidP="00F10604">
      <w:pPr>
        <w:ind w:left="720"/>
      </w:pPr>
      <w:r w:rsidRPr="00F10604">
        <w:rPr>
          <w:rStyle w:val="Strong"/>
        </w:rPr>
        <w:t>Download Data</w:t>
      </w:r>
      <w:r w:rsidR="00480553">
        <w:rPr>
          <w:rStyle w:val="Strong"/>
        </w:rPr>
        <w:t xml:space="preserve"> (By Destination and Origin)</w:t>
      </w:r>
      <w:r w:rsidRPr="00F10604">
        <w:rPr>
          <w:rStyle w:val="Strong"/>
        </w:rPr>
        <w:t xml:space="preserve">: </w:t>
      </w:r>
      <w:hyperlink r:id="rId13" w:history="1">
        <w:r w:rsidRPr="00DE6AB5">
          <w:rPr>
            <w:rStyle w:val="Hyperlink"/>
          </w:rPr>
          <w:t>https://www.un.org/development/desa/pd/sites/www.un.org.development.desa.pd/files/undesa_pd_2024_ims_stock_by_sex_destination_and_origin.xlsx</w:t>
        </w:r>
      </w:hyperlink>
    </w:p>
    <w:p w14:paraId="5F6ABE9B" w14:textId="52C3BDE9" w:rsidR="00480553" w:rsidRDefault="00480553" w:rsidP="00F10604">
      <w:pPr>
        <w:ind w:left="720"/>
      </w:pPr>
      <w:r>
        <w:rPr>
          <w:rStyle w:val="Strong"/>
        </w:rPr>
        <w:t>Download Data (By Destination):</w:t>
      </w:r>
    </w:p>
    <w:p w14:paraId="14B894FD" w14:textId="3972C92F" w:rsidR="00480553" w:rsidRDefault="00480553" w:rsidP="00F10604">
      <w:pPr>
        <w:ind w:left="720"/>
      </w:pPr>
      <w:hyperlink r:id="rId14" w:history="1">
        <w:r w:rsidRPr="00DE6AB5">
          <w:rPr>
            <w:rStyle w:val="Hyperlink"/>
          </w:rPr>
          <w:t>https://www.un.org/development/desa/pd/sites/www.un.org.development.desa.pd/files/undesa_pd_2024_ims_stock_by_sex_and_destination.xlsx</w:t>
        </w:r>
      </w:hyperlink>
    </w:p>
    <w:p w14:paraId="20AF85FE" w14:textId="5F6CB66F" w:rsidR="00480553" w:rsidRDefault="00480553" w:rsidP="00F10604">
      <w:pPr>
        <w:ind w:left="720"/>
        <w:rPr>
          <w:rStyle w:val="Strong"/>
        </w:rPr>
      </w:pPr>
      <w:r>
        <w:rPr>
          <w:rStyle w:val="Strong"/>
        </w:rPr>
        <w:t xml:space="preserve">Download Data (By Origin): </w:t>
      </w:r>
      <w:hyperlink r:id="rId15" w:history="1">
        <w:r w:rsidRPr="00DE6AB5">
          <w:rPr>
            <w:rStyle w:val="Hyperlink"/>
          </w:rPr>
          <w:t>https://www.un.org/development/desa/pd/sites/www.un.org.development.desa.pd/files/undesa_pd_2024_ims_stock_by_sex_and_origin.xlsx</w:t>
        </w:r>
      </w:hyperlink>
    </w:p>
    <w:p w14:paraId="442C047E" w14:textId="77777777" w:rsidR="00480553" w:rsidRPr="00480553" w:rsidRDefault="00480553" w:rsidP="00F10604">
      <w:pPr>
        <w:ind w:left="720"/>
        <w:rPr>
          <w:rStyle w:val="Strong"/>
        </w:rPr>
      </w:pPr>
    </w:p>
    <w:p w14:paraId="26BCC9A9" w14:textId="03562215" w:rsidR="00F10604" w:rsidRPr="00F10604" w:rsidRDefault="00F10604" w:rsidP="00F10604">
      <w:pPr>
        <w:pStyle w:val="Heading1"/>
        <w:rPr>
          <w:u w:val="single"/>
        </w:rPr>
      </w:pPr>
      <w:r w:rsidRPr="00F10604">
        <w:rPr>
          <w:u w:val="single"/>
        </w:rPr>
        <w:t>International Migrant Flows</w:t>
      </w:r>
    </w:p>
    <w:p w14:paraId="446F416E" w14:textId="19A746C7" w:rsidR="00F10604" w:rsidRDefault="00F10604" w:rsidP="008F7602">
      <w:r w:rsidRPr="00F10604">
        <w:rPr>
          <w:rStyle w:val="Strong"/>
        </w:rPr>
        <w:t>International Migrant Flows (UN):</w:t>
      </w:r>
      <w:r>
        <w:t xml:space="preserve"> </w:t>
      </w:r>
      <w:hyperlink r:id="rId16" w:history="1">
        <w:r w:rsidRPr="00DE6AB5">
          <w:rPr>
            <w:rStyle w:val="Hyperlink"/>
          </w:rPr>
          <w:t>https://www.un.org/development/desa/pd/data/international-migration-flows</w:t>
        </w:r>
      </w:hyperlink>
    </w:p>
    <w:p w14:paraId="0F20A04B" w14:textId="5794BD02" w:rsidR="00F10604" w:rsidRDefault="00F10604" w:rsidP="00F10604">
      <w:pPr>
        <w:ind w:left="720"/>
      </w:pPr>
      <w:r w:rsidRPr="00F10604">
        <w:rPr>
          <w:rStyle w:val="Strong"/>
        </w:rPr>
        <w:t>Download Data:</w:t>
      </w:r>
      <w:r>
        <w:t xml:space="preserve"> </w:t>
      </w:r>
      <w:hyperlink r:id="rId17" w:history="1">
        <w:r w:rsidRPr="00DE6AB5">
          <w:rPr>
            <w:rStyle w:val="Hyperlink"/>
          </w:rPr>
          <w:t>https://www.un.org/development/desa/pd/sites/www.un.org.development.desa.pd/files/undesa_pd_2015_migration_flow_totals.xlsx</w:t>
        </w:r>
      </w:hyperlink>
    </w:p>
    <w:p w14:paraId="28F8FBAF" w14:textId="77777777" w:rsidR="00F10604" w:rsidRDefault="00F10604" w:rsidP="00F10604">
      <w:pPr>
        <w:ind w:left="720"/>
      </w:pPr>
    </w:p>
    <w:p w14:paraId="68440DFA" w14:textId="77777777" w:rsidR="00F10604" w:rsidRPr="008F7602" w:rsidRDefault="00F10604" w:rsidP="008F7602"/>
    <w:sectPr w:rsidR="00F10604" w:rsidRPr="008F760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583DC" w14:textId="77777777" w:rsidR="00F05699" w:rsidRDefault="00F05699" w:rsidP="008C427A">
      <w:pPr>
        <w:spacing w:after="0" w:line="240" w:lineRule="auto"/>
      </w:pPr>
      <w:r>
        <w:separator/>
      </w:r>
    </w:p>
  </w:endnote>
  <w:endnote w:type="continuationSeparator" w:id="0">
    <w:p w14:paraId="4F3FD8AA" w14:textId="77777777" w:rsidR="00F05699" w:rsidRDefault="00F05699" w:rsidP="008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C8D89" w14:textId="77777777" w:rsidR="00F05699" w:rsidRDefault="00F05699" w:rsidP="008C427A">
      <w:pPr>
        <w:spacing w:after="0" w:line="240" w:lineRule="auto"/>
      </w:pPr>
      <w:r>
        <w:separator/>
      </w:r>
    </w:p>
  </w:footnote>
  <w:footnote w:type="continuationSeparator" w:id="0">
    <w:p w14:paraId="10ABB074" w14:textId="77777777" w:rsidR="00F05699" w:rsidRDefault="00F05699" w:rsidP="008C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4AC" w14:textId="1178D4A8" w:rsidR="008C427A" w:rsidRDefault="008C427A">
    <w:pPr>
      <w:pStyle w:val="Header"/>
    </w:pPr>
    <w:r>
      <w:t>Lucko, Dylan</w:t>
    </w:r>
  </w:p>
  <w:p w14:paraId="2FE6DC81" w14:textId="12980066" w:rsidR="008C427A" w:rsidRDefault="008C427A">
    <w:pPr>
      <w:pStyle w:val="Header"/>
    </w:pPr>
    <w:r>
      <w:t>Advances in Remittance Forecasting: Evidence from Egypt</w:t>
    </w:r>
  </w:p>
  <w:p w14:paraId="6FC35FC7" w14:textId="79812C35" w:rsidR="008C427A" w:rsidRDefault="008C427A">
    <w:pPr>
      <w:pStyle w:val="Header"/>
    </w:pPr>
    <w:r>
      <w:t>Spring 2025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7A"/>
    <w:rsid w:val="00176E41"/>
    <w:rsid w:val="00375F46"/>
    <w:rsid w:val="004007D9"/>
    <w:rsid w:val="00480553"/>
    <w:rsid w:val="005D74D0"/>
    <w:rsid w:val="008C427A"/>
    <w:rsid w:val="008F7602"/>
    <w:rsid w:val="00A81C53"/>
    <w:rsid w:val="00BF47CC"/>
    <w:rsid w:val="00CD5563"/>
    <w:rsid w:val="00F05699"/>
    <w:rsid w:val="00F10604"/>
    <w:rsid w:val="00F4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CC8C"/>
  <w15:chartTrackingRefBased/>
  <w15:docId w15:val="{E6895BE9-3F91-4B74-AC98-CFCAC6E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27A"/>
    <w:rPr>
      <w:rFonts w:eastAsiaTheme="majorEastAsia" w:cstheme="majorBidi"/>
      <w:color w:val="272727" w:themeColor="text1" w:themeTint="D8"/>
    </w:rPr>
  </w:style>
  <w:style w:type="paragraph" w:styleId="Title">
    <w:name w:val="Title"/>
    <w:basedOn w:val="Normal"/>
    <w:next w:val="Normal"/>
    <w:link w:val="TitleChar"/>
    <w:uiPriority w:val="10"/>
    <w:qFormat/>
    <w:rsid w:val="008C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27A"/>
    <w:pPr>
      <w:spacing w:before="160"/>
      <w:jc w:val="center"/>
    </w:pPr>
    <w:rPr>
      <w:i/>
      <w:iCs/>
      <w:color w:val="404040" w:themeColor="text1" w:themeTint="BF"/>
    </w:rPr>
  </w:style>
  <w:style w:type="character" w:customStyle="1" w:styleId="QuoteChar">
    <w:name w:val="Quote Char"/>
    <w:basedOn w:val="DefaultParagraphFont"/>
    <w:link w:val="Quote"/>
    <w:uiPriority w:val="29"/>
    <w:rsid w:val="008C427A"/>
    <w:rPr>
      <w:i/>
      <w:iCs/>
      <w:color w:val="404040" w:themeColor="text1" w:themeTint="BF"/>
    </w:rPr>
  </w:style>
  <w:style w:type="paragraph" w:styleId="ListParagraph">
    <w:name w:val="List Paragraph"/>
    <w:basedOn w:val="Normal"/>
    <w:uiPriority w:val="34"/>
    <w:qFormat/>
    <w:rsid w:val="008C427A"/>
    <w:pPr>
      <w:ind w:left="720"/>
      <w:contextualSpacing/>
    </w:pPr>
  </w:style>
  <w:style w:type="character" w:styleId="IntenseEmphasis">
    <w:name w:val="Intense Emphasis"/>
    <w:basedOn w:val="DefaultParagraphFont"/>
    <w:uiPriority w:val="21"/>
    <w:qFormat/>
    <w:rsid w:val="008C427A"/>
    <w:rPr>
      <w:i/>
      <w:iCs/>
      <w:color w:val="2F5496" w:themeColor="accent1" w:themeShade="BF"/>
    </w:rPr>
  </w:style>
  <w:style w:type="paragraph" w:styleId="IntenseQuote">
    <w:name w:val="Intense Quote"/>
    <w:basedOn w:val="Normal"/>
    <w:next w:val="Normal"/>
    <w:link w:val="IntenseQuoteChar"/>
    <w:uiPriority w:val="30"/>
    <w:qFormat/>
    <w:rsid w:val="008C4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27A"/>
    <w:rPr>
      <w:i/>
      <w:iCs/>
      <w:color w:val="2F5496" w:themeColor="accent1" w:themeShade="BF"/>
    </w:rPr>
  </w:style>
  <w:style w:type="character" w:styleId="IntenseReference">
    <w:name w:val="Intense Reference"/>
    <w:basedOn w:val="DefaultParagraphFont"/>
    <w:uiPriority w:val="32"/>
    <w:qFormat/>
    <w:rsid w:val="008C427A"/>
    <w:rPr>
      <w:b/>
      <w:bCs/>
      <w:smallCaps/>
      <w:color w:val="2F5496" w:themeColor="accent1" w:themeShade="BF"/>
      <w:spacing w:val="5"/>
    </w:rPr>
  </w:style>
  <w:style w:type="paragraph" w:styleId="Header">
    <w:name w:val="header"/>
    <w:basedOn w:val="Normal"/>
    <w:link w:val="HeaderChar"/>
    <w:uiPriority w:val="99"/>
    <w:unhideWhenUsed/>
    <w:rsid w:val="008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7A"/>
  </w:style>
  <w:style w:type="paragraph" w:styleId="Footer">
    <w:name w:val="footer"/>
    <w:basedOn w:val="Normal"/>
    <w:link w:val="FooterChar"/>
    <w:uiPriority w:val="99"/>
    <w:unhideWhenUsed/>
    <w:rsid w:val="008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7A"/>
  </w:style>
  <w:style w:type="character" w:styleId="Strong">
    <w:name w:val="Strong"/>
    <w:basedOn w:val="DefaultParagraphFont"/>
    <w:uiPriority w:val="22"/>
    <w:qFormat/>
    <w:rsid w:val="008C427A"/>
    <w:rPr>
      <w:b/>
      <w:bCs/>
    </w:rPr>
  </w:style>
  <w:style w:type="character" w:styleId="Hyperlink">
    <w:name w:val="Hyperlink"/>
    <w:basedOn w:val="DefaultParagraphFont"/>
    <w:uiPriority w:val="99"/>
    <w:unhideWhenUsed/>
    <w:rsid w:val="008C427A"/>
    <w:rPr>
      <w:color w:val="0563C1" w:themeColor="hyperlink"/>
      <w:u w:val="single"/>
    </w:rPr>
  </w:style>
  <w:style w:type="character" w:styleId="UnresolvedMention">
    <w:name w:val="Unresolved Mention"/>
    <w:basedOn w:val="DefaultParagraphFont"/>
    <w:uiPriority w:val="99"/>
    <w:semiHidden/>
    <w:unhideWhenUsed/>
    <w:rsid w:val="008C427A"/>
    <w:rPr>
      <w:color w:val="605E5C"/>
      <w:shd w:val="clear" w:color="auto" w:fill="E1DFDD"/>
    </w:rPr>
  </w:style>
  <w:style w:type="table" w:styleId="TableGrid">
    <w:name w:val="Table Grid"/>
    <w:basedOn w:val="TableNormal"/>
    <w:uiPriority w:val="39"/>
    <w:rsid w:val="0017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6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75523">
      <w:bodyDiv w:val="1"/>
      <w:marLeft w:val="0"/>
      <w:marRight w:val="0"/>
      <w:marTop w:val="0"/>
      <w:marBottom w:val="0"/>
      <w:divBdr>
        <w:top w:val="none" w:sz="0" w:space="0" w:color="auto"/>
        <w:left w:val="none" w:sz="0" w:space="0" w:color="auto"/>
        <w:bottom w:val="none" w:sz="0" w:space="0" w:color="auto"/>
        <w:right w:val="none" w:sz="0" w:space="0" w:color="auto"/>
      </w:divBdr>
    </w:div>
    <w:div w:id="243883080">
      <w:bodyDiv w:val="1"/>
      <w:marLeft w:val="0"/>
      <w:marRight w:val="0"/>
      <w:marTop w:val="0"/>
      <w:marBottom w:val="0"/>
      <w:divBdr>
        <w:top w:val="none" w:sz="0" w:space="0" w:color="auto"/>
        <w:left w:val="none" w:sz="0" w:space="0" w:color="auto"/>
        <w:bottom w:val="none" w:sz="0" w:space="0" w:color="auto"/>
        <w:right w:val="none" w:sz="0" w:space="0" w:color="auto"/>
      </w:divBdr>
    </w:div>
    <w:div w:id="408115921">
      <w:bodyDiv w:val="1"/>
      <w:marLeft w:val="0"/>
      <w:marRight w:val="0"/>
      <w:marTop w:val="0"/>
      <w:marBottom w:val="0"/>
      <w:divBdr>
        <w:top w:val="none" w:sz="0" w:space="0" w:color="auto"/>
        <w:left w:val="none" w:sz="0" w:space="0" w:color="auto"/>
        <w:bottom w:val="none" w:sz="0" w:space="0" w:color="auto"/>
        <w:right w:val="none" w:sz="0" w:space="0" w:color="auto"/>
      </w:divBdr>
    </w:div>
    <w:div w:id="428933138">
      <w:bodyDiv w:val="1"/>
      <w:marLeft w:val="0"/>
      <w:marRight w:val="0"/>
      <w:marTop w:val="0"/>
      <w:marBottom w:val="0"/>
      <w:divBdr>
        <w:top w:val="none" w:sz="0" w:space="0" w:color="auto"/>
        <w:left w:val="none" w:sz="0" w:space="0" w:color="auto"/>
        <w:bottom w:val="none" w:sz="0" w:space="0" w:color="auto"/>
        <w:right w:val="none" w:sz="0" w:space="0" w:color="auto"/>
      </w:divBdr>
    </w:div>
    <w:div w:id="520512056">
      <w:bodyDiv w:val="1"/>
      <w:marLeft w:val="0"/>
      <w:marRight w:val="0"/>
      <w:marTop w:val="0"/>
      <w:marBottom w:val="0"/>
      <w:divBdr>
        <w:top w:val="none" w:sz="0" w:space="0" w:color="auto"/>
        <w:left w:val="none" w:sz="0" w:space="0" w:color="auto"/>
        <w:bottom w:val="none" w:sz="0" w:space="0" w:color="auto"/>
        <w:right w:val="none" w:sz="0" w:space="0" w:color="auto"/>
      </w:divBdr>
    </w:div>
    <w:div w:id="553810488">
      <w:bodyDiv w:val="1"/>
      <w:marLeft w:val="0"/>
      <w:marRight w:val="0"/>
      <w:marTop w:val="0"/>
      <w:marBottom w:val="0"/>
      <w:divBdr>
        <w:top w:val="none" w:sz="0" w:space="0" w:color="auto"/>
        <w:left w:val="none" w:sz="0" w:space="0" w:color="auto"/>
        <w:bottom w:val="none" w:sz="0" w:space="0" w:color="auto"/>
        <w:right w:val="none" w:sz="0" w:space="0" w:color="auto"/>
      </w:divBdr>
    </w:div>
    <w:div w:id="1282952961">
      <w:bodyDiv w:val="1"/>
      <w:marLeft w:val="0"/>
      <w:marRight w:val="0"/>
      <w:marTop w:val="0"/>
      <w:marBottom w:val="0"/>
      <w:divBdr>
        <w:top w:val="none" w:sz="0" w:space="0" w:color="auto"/>
        <w:left w:val="none" w:sz="0" w:space="0" w:color="auto"/>
        <w:bottom w:val="none" w:sz="0" w:space="0" w:color="auto"/>
        <w:right w:val="none" w:sz="0" w:space="0" w:color="auto"/>
      </w:divBdr>
    </w:div>
    <w:div w:id="1350063392">
      <w:bodyDiv w:val="1"/>
      <w:marLeft w:val="0"/>
      <w:marRight w:val="0"/>
      <w:marTop w:val="0"/>
      <w:marBottom w:val="0"/>
      <w:divBdr>
        <w:top w:val="none" w:sz="0" w:space="0" w:color="auto"/>
        <w:left w:val="none" w:sz="0" w:space="0" w:color="auto"/>
        <w:bottom w:val="none" w:sz="0" w:space="0" w:color="auto"/>
        <w:right w:val="none" w:sz="0" w:space="0" w:color="auto"/>
      </w:divBdr>
    </w:div>
    <w:div w:id="1613128779">
      <w:bodyDiv w:val="1"/>
      <w:marLeft w:val="0"/>
      <w:marRight w:val="0"/>
      <w:marTop w:val="0"/>
      <w:marBottom w:val="0"/>
      <w:divBdr>
        <w:top w:val="none" w:sz="0" w:space="0" w:color="auto"/>
        <w:left w:val="none" w:sz="0" w:space="0" w:color="auto"/>
        <w:bottom w:val="none" w:sz="0" w:space="0" w:color="auto"/>
        <w:right w:val="none" w:sz="0" w:space="0" w:color="auto"/>
      </w:divBdr>
    </w:div>
    <w:div w:id="1719667121">
      <w:bodyDiv w:val="1"/>
      <w:marLeft w:val="0"/>
      <w:marRight w:val="0"/>
      <w:marTop w:val="0"/>
      <w:marBottom w:val="0"/>
      <w:divBdr>
        <w:top w:val="none" w:sz="0" w:space="0" w:color="auto"/>
        <w:left w:val="none" w:sz="0" w:space="0" w:color="auto"/>
        <w:bottom w:val="none" w:sz="0" w:space="0" w:color="auto"/>
        <w:right w:val="none" w:sz="0" w:space="0" w:color="auto"/>
      </w:divBdr>
    </w:div>
    <w:div w:id="1734427874">
      <w:bodyDiv w:val="1"/>
      <w:marLeft w:val="0"/>
      <w:marRight w:val="0"/>
      <w:marTop w:val="0"/>
      <w:marBottom w:val="0"/>
      <w:divBdr>
        <w:top w:val="none" w:sz="0" w:space="0" w:color="auto"/>
        <w:left w:val="none" w:sz="0" w:space="0" w:color="auto"/>
        <w:bottom w:val="none" w:sz="0" w:space="0" w:color="auto"/>
        <w:right w:val="none" w:sz="0" w:space="0" w:color="auto"/>
      </w:divBdr>
    </w:div>
    <w:div w:id="1831018247">
      <w:bodyDiv w:val="1"/>
      <w:marLeft w:val="0"/>
      <w:marRight w:val="0"/>
      <w:marTop w:val="0"/>
      <w:marBottom w:val="0"/>
      <w:divBdr>
        <w:top w:val="none" w:sz="0" w:space="0" w:color="auto"/>
        <w:left w:val="none" w:sz="0" w:space="0" w:color="auto"/>
        <w:bottom w:val="none" w:sz="0" w:space="0" w:color="auto"/>
        <w:right w:val="none" w:sz="0" w:space="0" w:color="auto"/>
      </w:divBdr>
    </w:div>
    <w:div w:id="1917475214">
      <w:bodyDiv w:val="1"/>
      <w:marLeft w:val="0"/>
      <w:marRight w:val="0"/>
      <w:marTop w:val="0"/>
      <w:marBottom w:val="0"/>
      <w:divBdr>
        <w:top w:val="none" w:sz="0" w:space="0" w:color="auto"/>
        <w:left w:val="none" w:sz="0" w:space="0" w:color="auto"/>
        <w:bottom w:val="none" w:sz="0" w:space="0" w:color="auto"/>
        <w:right w:val="none" w:sz="0" w:space="0" w:color="auto"/>
      </w:divBdr>
    </w:div>
    <w:div w:id="1922596779">
      <w:bodyDiv w:val="1"/>
      <w:marLeft w:val="0"/>
      <w:marRight w:val="0"/>
      <w:marTop w:val="0"/>
      <w:marBottom w:val="0"/>
      <w:divBdr>
        <w:top w:val="none" w:sz="0" w:space="0" w:color="auto"/>
        <w:left w:val="none" w:sz="0" w:space="0" w:color="auto"/>
        <w:bottom w:val="none" w:sz="0" w:space="0" w:color="auto"/>
        <w:right w:val="none" w:sz="0" w:space="0" w:color="auto"/>
      </w:divBdr>
    </w:div>
    <w:div w:id="2005013275">
      <w:bodyDiv w:val="1"/>
      <w:marLeft w:val="0"/>
      <w:marRight w:val="0"/>
      <w:marTop w:val="0"/>
      <w:marBottom w:val="0"/>
      <w:divBdr>
        <w:top w:val="none" w:sz="0" w:space="0" w:color="auto"/>
        <w:left w:val="none" w:sz="0" w:space="0" w:color="auto"/>
        <w:bottom w:val="none" w:sz="0" w:space="0" w:color="auto"/>
        <w:right w:val="none" w:sz="0" w:space="0" w:color="auto"/>
      </w:divBdr>
    </w:div>
    <w:div w:id="20460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PX.REX.REER?locations=EG" TargetMode="External"/><Relationship Id="rId13" Type="http://schemas.openxmlformats.org/officeDocument/2006/relationships/hyperlink" Target="https://www.un.org/development/desa/pd/sites/www.un.org.development.desa.pd/files/undesa_pd_2024_ims_stock_by_sex_destination_and_origin.xlsx"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pi.worldbank.org/v2/en/indicator/BX.TRF.PWKR.DT.GD.ZS?downloadformat=csv" TargetMode="External"/><Relationship Id="rId12" Type="http://schemas.openxmlformats.org/officeDocument/2006/relationships/hyperlink" Target="https://www.un.org/development/desa/pd/content/international-migrant-stock" TargetMode="External"/><Relationship Id="rId17" Type="http://schemas.openxmlformats.org/officeDocument/2006/relationships/hyperlink" Target="https://www.un.org/development/desa/pd/sites/www.un.org.development.desa.pd/files/undesa_pd_2015_migration_flow_totals.xlsx" TargetMode="External"/><Relationship Id="rId2" Type="http://schemas.openxmlformats.org/officeDocument/2006/relationships/settings" Target="settings.xml"/><Relationship Id="rId16" Type="http://schemas.openxmlformats.org/officeDocument/2006/relationships/hyperlink" Target="https://www.un.org/development/desa/pd/data/international-migration-flow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worldbank.org/indicator/BX.TRF.PWKR.DT.GD.ZS?locations=EG" TargetMode="External"/><Relationship Id="rId11" Type="http://schemas.openxmlformats.org/officeDocument/2006/relationships/hyperlink" Target="https://api.worldbank.org/v2/en/indicator/FP.CPI.TOTL.ZG?downloadformat=csv" TargetMode="External"/><Relationship Id="rId5" Type="http://schemas.openxmlformats.org/officeDocument/2006/relationships/endnotes" Target="endnotes.xml"/><Relationship Id="rId15" Type="http://schemas.openxmlformats.org/officeDocument/2006/relationships/hyperlink" Target="https://www.un.org/development/desa/pd/sites/www.un.org.development.desa.pd/files/undesa_pd_2024_ims_stock_by_sex_and_origin.xlsx" TargetMode="External"/><Relationship Id="rId10" Type="http://schemas.openxmlformats.org/officeDocument/2006/relationships/hyperlink" Target="https://data.worldbank.org/indicator/FP.CPI.TOTL.ZG?locations=E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i.worldbank.org/v2/en/indicator/PX.REX.REER?downloadformat=csv" TargetMode="External"/><Relationship Id="rId14" Type="http://schemas.openxmlformats.org/officeDocument/2006/relationships/hyperlink" Target="https://www.un.org/development/desa/pd/sites/www.un.org.development.desa.pd/files/undesa_pd_2024_ims_stock_by_sex_and_destinati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Lucko, Dylan</dc:creator>
  <cp:keywords/>
  <dc:description/>
  <cp:lastModifiedBy>Lucko, Dylan</cp:lastModifiedBy>
  <cp:revision>4</cp:revision>
  <dcterms:created xsi:type="dcterms:W3CDTF">2025-02-23T17:50:00Z</dcterms:created>
  <dcterms:modified xsi:type="dcterms:W3CDTF">2025-02-23T18:49:00Z</dcterms:modified>
</cp:coreProperties>
</file>