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CDE3B" w14:textId="77777777" w:rsidR="00BF47CC" w:rsidRDefault="00BF47CC"/>
    <w:p w14:paraId="2E75FB20" w14:textId="27F50A61" w:rsidR="001F3067" w:rsidRDefault="001F3067" w:rsidP="001F3067">
      <w:pPr>
        <w:pStyle w:val="Title"/>
        <w:jc w:val="center"/>
        <w:rPr>
          <w:color w:val="7030A0"/>
          <w:u w:val="single"/>
        </w:rPr>
      </w:pPr>
      <w:r w:rsidRPr="001F3067">
        <w:rPr>
          <w:color w:val="7030A0"/>
          <w:u w:val="single"/>
        </w:rPr>
        <w:t>Data and Sources</w:t>
      </w:r>
    </w:p>
    <w:sdt>
      <w:sdtPr>
        <w:id w:val="51265253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A0F377F" w14:textId="7877648C" w:rsidR="005D0DDC" w:rsidRDefault="005D0DDC">
          <w:pPr>
            <w:pStyle w:val="TOCHeading"/>
          </w:pPr>
          <w:r>
            <w:t>Contents</w:t>
          </w:r>
        </w:p>
        <w:p w14:paraId="2628EB43" w14:textId="317B7E0A" w:rsidR="005D0DDC" w:rsidRDefault="005D0DDC">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1211901" w:history="1">
            <w:r w:rsidRPr="00E70E31">
              <w:rPr>
                <w:rStyle w:val="Hyperlink"/>
                <w:noProof/>
              </w:rPr>
              <w:t>Egyptian Personal Remittances Received (Current US$)</w:t>
            </w:r>
            <w:r>
              <w:rPr>
                <w:noProof/>
                <w:webHidden/>
              </w:rPr>
              <w:tab/>
            </w:r>
            <w:r>
              <w:rPr>
                <w:noProof/>
                <w:webHidden/>
              </w:rPr>
              <w:fldChar w:fldCharType="begin"/>
            </w:r>
            <w:r>
              <w:rPr>
                <w:noProof/>
                <w:webHidden/>
              </w:rPr>
              <w:instrText xml:space="preserve"> PAGEREF _Toc191211901 \h </w:instrText>
            </w:r>
            <w:r>
              <w:rPr>
                <w:noProof/>
                <w:webHidden/>
              </w:rPr>
            </w:r>
            <w:r>
              <w:rPr>
                <w:noProof/>
                <w:webHidden/>
              </w:rPr>
              <w:fldChar w:fldCharType="separate"/>
            </w:r>
            <w:r>
              <w:rPr>
                <w:noProof/>
                <w:webHidden/>
              </w:rPr>
              <w:t>1</w:t>
            </w:r>
            <w:r>
              <w:rPr>
                <w:noProof/>
                <w:webHidden/>
              </w:rPr>
              <w:fldChar w:fldCharType="end"/>
            </w:r>
          </w:hyperlink>
        </w:p>
        <w:p w14:paraId="0AD62BBB" w14:textId="087AE702" w:rsidR="005D0DDC" w:rsidRDefault="005D0DDC">
          <w:pPr>
            <w:pStyle w:val="TOC1"/>
            <w:tabs>
              <w:tab w:val="right" w:leader="dot" w:pos="9350"/>
            </w:tabs>
            <w:rPr>
              <w:rFonts w:eastAsiaTheme="minorEastAsia"/>
              <w:noProof/>
              <w:sz w:val="24"/>
              <w:szCs w:val="24"/>
            </w:rPr>
          </w:pPr>
          <w:hyperlink w:anchor="_Toc191211902" w:history="1">
            <w:r w:rsidRPr="00E70E31">
              <w:rPr>
                <w:rStyle w:val="Hyperlink"/>
                <w:noProof/>
              </w:rPr>
              <w:t>Egyptian Personal Remittances Received (% of GDP)</w:t>
            </w:r>
            <w:r>
              <w:rPr>
                <w:noProof/>
                <w:webHidden/>
              </w:rPr>
              <w:tab/>
            </w:r>
            <w:r>
              <w:rPr>
                <w:noProof/>
                <w:webHidden/>
              </w:rPr>
              <w:fldChar w:fldCharType="begin"/>
            </w:r>
            <w:r>
              <w:rPr>
                <w:noProof/>
                <w:webHidden/>
              </w:rPr>
              <w:instrText xml:space="preserve"> PAGEREF _Toc191211902 \h </w:instrText>
            </w:r>
            <w:r>
              <w:rPr>
                <w:noProof/>
                <w:webHidden/>
              </w:rPr>
            </w:r>
            <w:r>
              <w:rPr>
                <w:noProof/>
                <w:webHidden/>
              </w:rPr>
              <w:fldChar w:fldCharType="separate"/>
            </w:r>
            <w:r>
              <w:rPr>
                <w:noProof/>
                <w:webHidden/>
              </w:rPr>
              <w:t>2</w:t>
            </w:r>
            <w:r>
              <w:rPr>
                <w:noProof/>
                <w:webHidden/>
              </w:rPr>
              <w:fldChar w:fldCharType="end"/>
            </w:r>
          </w:hyperlink>
        </w:p>
        <w:p w14:paraId="555855DC" w14:textId="61390B59" w:rsidR="005D0DDC" w:rsidRDefault="005D0DDC">
          <w:pPr>
            <w:pStyle w:val="TOC1"/>
            <w:tabs>
              <w:tab w:val="right" w:leader="dot" w:pos="9350"/>
            </w:tabs>
            <w:rPr>
              <w:rFonts w:eastAsiaTheme="minorEastAsia"/>
              <w:noProof/>
              <w:sz w:val="24"/>
              <w:szCs w:val="24"/>
            </w:rPr>
          </w:pPr>
          <w:hyperlink w:anchor="_Toc191211903" w:history="1">
            <w:r w:rsidRPr="00E70E31">
              <w:rPr>
                <w:rStyle w:val="Hyperlink"/>
                <w:noProof/>
              </w:rPr>
              <w:t>Real Effective Exchange Rate (REER)</w:t>
            </w:r>
            <w:r>
              <w:rPr>
                <w:noProof/>
                <w:webHidden/>
              </w:rPr>
              <w:tab/>
            </w:r>
            <w:r>
              <w:rPr>
                <w:noProof/>
                <w:webHidden/>
              </w:rPr>
              <w:fldChar w:fldCharType="begin"/>
            </w:r>
            <w:r>
              <w:rPr>
                <w:noProof/>
                <w:webHidden/>
              </w:rPr>
              <w:instrText xml:space="preserve"> PAGEREF _Toc191211903 \h </w:instrText>
            </w:r>
            <w:r>
              <w:rPr>
                <w:noProof/>
                <w:webHidden/>
              </w:rPr>
            </w:r>
            <w:r>
              <w:rPr>
                <w:noProof/>
                <w:webHidden/>
              </w:rPr>
              <w:fldChar w:fldCharType="separate"/>
            </w:r>
            <w:r>
              <w:rPr>
                <w:noProof/>
                <w:webHidden/>
              </w:rPr>
              <w:t>3</w:t>
            </w:r>
            <w:r>
              <w:rPr>
                <w:noProof/>
                <w:webHidden/>
              </w:rPr>
              <w:fldChar w:fldCharType="end"/>
            </w:r>
          </w:hyperlink>
        </w:p>
        <w:p w14:paraId="38E2CA37" w14:textId="7BF0261B" w:rsidR="005D0DDC" w:rsidRDefault="005D0DDC">
          <w:pPr>
            <w:pStyle w:val="TOC1"/>
            <w:tabs>
              <w:tab w:val="right" w:leader="dot" w:pos="9350"/>
            </w:tabs>
            <w:rPr>
              <w:rFonts w:eastAsiaTheme="minorEastAsia"/>
              <w:noProof/>
              <w:sz w:val="24"/>
              <w:szCs w:val="24"/>
            </w:rPr>
          </w:pPr>
          <w:hyperlink w:anchor="_Toc191211904" w:history="1">
            <w:r w:rsidRPr="00E70E31">
              <w:rPr>
                <w:rStyle w:val="Hyperlink"/>
                <w:noProof/>
              </w:rPr>
              <w:t>Inflation Rate (Percent)</w:t>
            </w:r>
            <w:r>
              <w:rPr>
                <w:noProof/>
                <w:webHidden/>
              </w:rPr>
              <w:tab/>
            </w:r>
            <w:r>
              <w:rPr>
                <w:noProof/>
                <w:webHidden/>
              </w:rPr>
              <w:fldChar w:fldCharType="begin"/>
            </w:r>
            <w:r>
              <w:rPr>
                <w:noProof/>
                <w:webHidden/>
              </w:rPr>
              <w:instrText xml:space="preserve"> PAGEREF _Toc191211904 \h </w:instrText>
            </w:r>
            <w:r>
              <w:rPr>
                <w:noProof/>
                <w:webHidden/>
              </w:rPr>
            </w:r>
            <w:r>
              <w:rPr>
                <w:noProof/>
                <w:webHidden/>
              </w:rPr>
              <w:fldChar w:fldCharType="separate"/>
            </w:r>
            <w:r>
              <w:rPr>
                <w:noProof/>
                <w:webHidden/>
              </w:rPr>
              <w:t>3</w:t>
            </w:r>
            <w:r>
              <w:rPr>
                <w:noProof/>
                <w:webHidden/>
              </w:rPr>
              <w:fldChar w:fldCharType="end"/>
            </w:r>
          </w:hyperlink>
        </w:p>
        <w:p w14:paraId="6F746C08" w14:textId="1E6E8DD5" w:rsidR="005D0DDC" w:rsidRDefault="005D0DDC">
          <w:pPr>
            <w:pStyle w:val="TOC1"/>
            <w:tabs>
              <w:tab w:val="right" w:leader="dot" w:pos="9350"/>
            </w:tabs>
            <w:rPr>
              <w:rFonts w:eastAsiaTheme="minorEastAsia"/>
              <w:noProof/>
              <w:sz w:val="24"/>
              <w:szCs w:val="24"/>
            </w:rPr>
          </w:pPr>
          <w:hyperlink w:anchor="_Toc191211905" w:history="1">
            <w:r w:rsidRPr="00E70E31">
              <w:rPr>
                <w:rStyle w:val="Hyperlink"/>
                <w:noProof/>
              </w:rPr>
              <w:t>International Migrant Stock</w:t>
            </w:r>
            <w:r>
              <w:rPr>
                <w:noProof/>
                <w:webHidden/>
              </w:rPr>
              <w:tab/>
            </w:r>
            <w:r>
              <w:rPr>
                <w:noProof/>
                <w:webHidden/>
              </w:rPr>
              <w:fldChar w:fldCharType="begin"/>
            </w:r>
            <w:r>
              <w:rPr>
                <w:noProof/>
                <w:webHidden/>
              </w:rPr>
              <w:instrText xml:space="preserve"> PAGEREF _Toc191211905 \h </w:instrText>
            </w:r>
            <w:r>
              <w:rPr>
                <w:noProof/>
                <w:webHidden/>
              </w:rPr>
            </w:r>
            <w:r>
              <w:rPr>
                <w:noProof/>
                <w:webHidden/>
              </w:rPr>
              <w:fldChar w:fldCharType="separate"/>
            </w:r>
            <w:r>
              <w:rPr>
                <w:noProof/>
                <w:webHidden/>
              </w:rPr>
              <w:t>4</w:t>
            </w:r>
            <w:r>
              <w:rPr>
                <w:noProof/>
                <w:webHidden/>
              </w:rPr>
              <w:fldChar w:fldCharType="end"/>
            </w:r>
          </w:hyperlink>
        </w:p>
        <w:p w14:paraId="606156C1" w14:textId="7D283922" w:rsidR="005D0DDC" w:rsidRDefault="005D0DDC">
          <w:pPr>
            <w:pStyle w:val="TOC1"/>
            <w:tabs>
              <w:tab w:val="right" w:leader="dot" w:pos="9350"/>
            </w:tabs>
            <w:rPr>
              <w:rFonts w:eastAsiaTheme="minorEastAsia"/>
              <w:noProof/>
              <w:sz w:val="24"/>
              <w:szCs w:val="24"/>
            </w:rPr>
          </w:pPr>
          <w:hyperlink w:anchor="_Toc191211906" w:history="1">
            <w:r w:rsidRPr="00E70E31">
              <w:rPr>
                <w:rStyle w:val="Hyperlink"/>
                <w:noProof/>
              </w:rPr>
              <w:t>International Migrant Flows</w:t>
            </w:r>
            <w:r>
              <w:rPr>
                <w:noProof/>
                <w:webHidden/>
              </w:rPr>
              <w:tab/>
            </w:r>
            <w:r>
              <w:rPr>
                <w:noProof/>
                <w:webHidden/>
              </w:rPr>
              <w:fldChar w:fldCharType="begin"/>
            </w:r>
            <w:r>
              <w:rPr>
                <w:noProof/>
                <w:webHidden/>
              </w:rPr>
              <w:instrText xml:space="preserve"> PAGEREF _Toc191211906 \h </w:instrText>
            </w:r>
            <w:r>
              <w:rPr>
                <w:noProof/>
                <w:webHidden/>
              </w:rPr>
            </w:r>
            <w:r>
              <w:rPr>
                <w:noProof/>
                <w:webHidden/>
              </w:rPr>
              <w:fldChar w:fldCharType="separate"/>
            </w:r>
            <w:r>
              <w:rPr>
                <w:noProof/>
                <w:webHidden/>
              </w:rPr>
              <w:t>4</w:t>
            </w:r>
            <w:r>
              <w:rPr>
                <w:noProof/>
                <w:webHidden/>
              </w:rPr>
              <w:fldChar w:fldCharType="end"/>
            </w:r>
          </w:hyperlink>
        </w:p>
        <w:p w14:paraId="64D0E704" w14:textId="114A2107" w:rsidR="005D0DDC" w:rsidRDefault="005D0DDC">
          <w:r>
            <w:rPr>
              <w:b/>
              <w:bCs/>
              <w:noProof/>
            </w:rPr>
            <w:fldChar w:fldCharType="end"/>
          </w:r>
        </w:p>
      </w:sdtContent>
    </w:sdt>
    <w:p w14:paraId="13B39675" w14:textId="77777777" w:rsidR="000232D4" w:rsidRPr="000232D4" w:rsidRDefault="000232D4" w:rsidP="000232D4"/>
    <w:p w14:paraId="7F7C8153" w14:textId="091113F6" w:rsidR="001F3067" w:rsidRDefault="001F3067" w:rsidP="008C427A">
      <w:pPr>
        <w:pStyle w:val="Heading1"/>
        <w:rPr>
          <w:u w:val="single"/>
        </w:rPr>
      </w:pPr>
      <w:bookmarkStart w:id="0" w:name="_Toc191211901"/>
      <w:r>
        <w:rPr>
          <w:u w:val="single"/>
        </w:rPr>
        <w:t>Personal Remittances Received (Current US$)</w:t>
      </w:r>
      <w:bookmarkEnd w:id="0"/>
    </w:p>
    <w:p w14:paraId="7F567B88" w14:textId="05FBA8A7" w:rsidR="001F3067" w:rsidRDefault="001F3067" w:rsidP="001F3067">
      <w:r w:rsidRPr="001F3067">
        <w:rPr>
          <w:rStyle w:val="Strong"/>
        </w:rPr>
        <w:t xml:space="preserve">Personal Remittances Received (Current US$): </w:t>
      </w:r>
      <w:hyperlink r:id="rId7" w:history="1">
        <w:r w:rsidRPr="00DE6AB5">
          <w:rPr>
            <w:rStyle w:val="Hyperlink"/>
          </w:rPr>
          <w:t>https://data.worldbank.org/indicator/BX.TRF.PWKR.CD.DT?locations=EG</w:t>
        </w:r>
      </w:hyperlink>
    </w:p>
    <w:p w14:paraId="5E8A4B05" w14:textId="11264285" w:rsidR="001F3067" w:rsidRDefault="001F3067" w:rsidP="001F3067">
      <w:pPr>
        <w:ind w:left="720"/>
      </w:pPr>
      <w:r w:rsidRPr="001F3067">
        <w:rPr>
          <w:rStyle w:val="Strong"/>
        </w:rPr>
        <w:t xml:space="preserve">Download Data: </w:t>
      </w:r>
      <w:hyperlink r:id="rId8" w:history="1">
        <w:r w:rsidRPr="00DE6AB5">
          <w:rPr>
            <w:rStyle w:val="Hyperlink"/>
          </w:rPr>
          <w:t>https://api.worldbank.org/v2/en/indicator/BX.TRF.PWKR.CD.DT?downloadformat=csv</w:t>
        </w:r>
      </w:hyperlink>
    </w:p>
    <w:p w14:paraId="6421C6DC" w14:textId="77777777" w:rsidR="001F3067" w:rsidRDefault="001F3067" w:rsidP="001F3067">
      <w:pPr>
        <w:ind w:left="630"/>
      </w:pPr>
      <w:r>
        <w:tab/>
      </w: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1F3067" w14:paraId="6F08724A"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7ED6C514" w14:textId="77777777" w:rsidR="001F3067" w:rsidRDefault="001F3067" w:rsidP="00432F43">
            <w:pPr>
              <w:rPr>
                <w:rFonts w:ascii="Aptos Narrow" w:hAnsi="Aptos Narrow"/>
                <w:color w:val="000000"/>
              </w:rPr>
            </w:pPr>
          </w:p>
        </w:tc>
        <w:tc>
          <w:tcPr>
            <w:tcW w:w="4074" w:type="dxa"/>
          </w:tcPr>
          <w:p w14:paraId="10538455" w14:textId="77777777" w:rsidR="001F3067" w:rsidRDefault="001F3067"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1F3067" w14:paraId="384B54C6"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321570AD" w14:textId="77777777" w:rsidR="001F3067" w:rsidRPr="00176E41" w:rsidRDefault="001F3067" w:rsidP="00432F43">
            <w:pPr>
              <w:rPr>
                <w:rFonts w:ascii="Aptos Narrow" w:hAnsi="Aptos Narrow"/>
                <w:color w:val="000000"/>
              </w:rPr>
            </w:pPr>
            <w:r>
              <w:rPr>
                <w:rFonts w:ascii="Aptos Narrow" w:hAnsi="Aptos Narrow"/>
                <w:caps w:val="0"/>
                <w:color w:val="000000"/>
              </w:rPr>
              <w:t>Indicator_Code</w:t>
            </w:r>
          </w:p>
        </w:tc>
        <w:tc>
          <w:tcPr>
            <w:tcW w:w="4074" w:type="dxa"/>
          </w:tcPr>
          <w:p w14:paraId="02F3E096" w14:textId="77777777" w:rsidR="001F3067" w:rsidRDefault="001F3067" w:rsidP="001F3067">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BX.TRF.PWKR.CD.DT</w:t>
            </w:r>
          </w:p>
          <w:p w14:paraId="70318F17" w14:textId="77777777" w:rsidR="001F3067" w:rsidRPr="00176E41" w:rsidRDefault="001F3067"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1F3067" w14:paraId="03AE9EFF"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3D000DAA" w14:textId="77777777" w:rsidR="001F3067" w:rsidRPr="00176E41" w:rsidRDefault="001F3067" w:rsidP="00432F43">
            <w:pPr>
              <w:rPr>
                <w:rFonts w:ascii="Aptos Narrow" w:hAnsi="Aptos Narrow"/>
                <w:color w:val="000000"/>
              </w:rPr>
            </w:pPr>
            <w:r>
              <w:rPr>
                <w:rFonts w:ascii="Aptos Narrow" w:hAnsi="Aptos Narrow"/>
                <w:caps w:val="0"/>
                <w:color w:val="000000"/>
              </w:rPr>
              <w:t>Indicator_Name</w:t>
            </w:r>
          </w:p>
        </w:tc>
        <w:tc>
          <w:tcPr>
            <w:tcW w:w="4074" w:type="dxa"/>
          </w:tcPr>
          <w:p w14:paraId="75E5C3E5" w14:textId="77777777" w:rsidR="001F3067" w:rsidRDefault="001F3067" w:rsidP="001F3067">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Personal remittances, received (current US$)</w:t>
            </w:r>
          </w:p>
          <w:p w14:paraId="4B5B2BDD" w14:textId="77777777" w:rsidR="001F3067" w:rsidRPr="00176E41" w:rsidRDefault="001F3067"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1F3067" w14:paraId="0CA3E592"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5D164AB7" w14:textId="77777777" w:rsidR="001F3067" w:rsidRPr="00176E41" w:rsidRDefault="001F3067" w:rsidP="00432F43">
            <w:pPr>
              <w:rPr>
                <w:rFonts w:ascii="Aptos Narrow" w:hAnsi="Aptos Narrow"/>
                <w:color w:val="000000"/>
              </w:rPr>
            </w:pPr>
            <w:r>
              <w:rPr>
                <w:rFonts w:ascii="Aptos Narrow" w:hAnsi="Aptos Narrow"/>
                <w:caps w:val="0"/>
                <w:color w:val="000000"/>
              </w:rPr>
              <w:t>Source_Note</w:t>
            </w:r>
          </w:p>
        </w:tc>
        <w:tc>
          <w:tcPr>
            <w:tcW w:w="4074" w:type="dxa"/>
          </w:tcPr>
          <w:p w14:paraId="73357010" w14:textId="77777777" w:rsidR="001F3067" w:rsidRDefault="001F3067" w:rsidP="001F3067">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 xml:space="preserve">Personal remittances comprise personal transfers and compensation of employees. Personal transfers consist of all current transfers in cash or in kind made or received by resident households to or from nonresident households. Personal transfers thus include all current transfers between resident and nonresident individuals. Compensation of employees refers to the income of border, seasonal, and other short-term workers who are employed in an economy where they are not resident and of </w:t>
            </w:r>
            <w:r>
              <w:rPr>
                <w:rFonts w:ascii="Aptos Narrow" w:hAnsi="Aptos Narrow"/>
                <w:color w:val="000000"/>
              </w:rPr>
              <w:lastRenderedPageBreak/>
              <w:t>residents employed by nonresident entities. Data are the sum of two items defined in the sixth edition of the IMF's Balance of Payments Manual: personal transfers and compensation of employees. Data are in current U.S. dollars.</w:t>
            </w:r>
          </w:p>
          <w:p w14:paraId="38541484" w14:textId="77777777" w:rsidR="001F3067" w:rsidRPr="00176E41" w:rsidRDefault="001F3067"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1F3067" w14:paraId="76951051"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06AACECF" w14:textId="77777777" w:rsidR="001F3067" w:rsidRDefault="001F3067" w:rsidP="00432F43">
            <w:pPr>
              <w:rPr>
                <w:rFonts w:ascii="Aptos Narrow" w:hAnsi="Aptos Narrow"/>
                <w:color w:val="000000"/>
              </w:rPr>
            </w:pPr>
            <w:r>
              <w:rPr>
                <w:rFonts w:ascii="Aptos Narrow" w:hAnsi="Aptos Narrow"/>
                <w:caps w:val="0"/>
                <w:color w:val="000000"/>
              </w:rPr>
              <w:lastRenderedPageBreak/>
              <w:t>Source_Organization</w:t>
            </w:r>
          </w:p>
        </w:tc>
        <w:tc>
          <w:tcPr>
            <w:tcW w:w="4074" w:type="dxa"/>
          </w:tcPr>
          <w:p w14:paraId="13C902D7" w14:textId="77777777" w:rsidR="001F3067" w:rsidRDefault="001F3067" w:rsidP="001F3067">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World Bank staff estimates based on IMF balance of payments data.</w:t>
            </w:r>
          </w:p>
          <w:p w14:paraId="01535FF6" w14:textId="77777777" w:rsidR="001F3067" w:rsidRPr="00176E41" w:rsidRDefault="001F3067"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32C9CA2E" w14:textId="4F9FFD38" w:rsidR="001F3067" w:rsidRPr="001F3067" w:rsidRDefault="001F3067" w:rsidP="001F3067"/>
    <w:p w14:paraId="5FA8AE6F" w14:textId="5C0D660E" w:rsidR="00375F46" w:rsidRDefault="00375F46" w:rsidP="008C427A">
      <w:pPr>
        <w:pStyle w:val="Heading1"/>
        <w:rPr>
          <w:u w:val="single"/>
        </w:rPr>
      </w:pPr>
      <w:bookmarkStart w:id="1" w:name="_Toc191211902"/>
      <w:r>
        <w:rPr>
          <w:u w:val="single"/>
        </w:rPr>
        <w:t>Personal Remittances</w:t>
      </w:r>
      <w:r w:rsidR="001F3067">
        <w:rPr>
          <w:u w:val="single"/>
        </w:rPr>
        <w:t xml:space="preserve"> Received (% of GDP)</w:t>
      </w:r>
      <w:bookmarkEnd w:id="1"/>
    </w:p>
    <w:p w14:paraId="03B3B0DE" w14:textId="76DBF611" w:rsidR="00375F46" w:rsidRDefault="00375F46" w:rsidP="00375F46">
      <w:r w:rsidRPr="00375F46">
        <w:rPr>
          <w:rStyle w:val="Strong"/>
        </w:rPr>
        <w:t>Personal Remittances</w:t>
      </w:r>
      <w:r w:rsidR="001F3067">
        <w:rPr>
          <w:rStyle w:val="Strong"/>
        </w:rPr>
        <w:t xml:space="preserve"> (% of GDP)</w:t>
      </w:r>
      <w:r w:rsidRPr="00375F46">
        <w:rPr>
          <w:rStyle w:val="Strong"/>
        </w:rPr>
        <w:t>:</w:t>
      </w:r>
      <w:r>
        <w:t xml:space="preserve"> </w:t>
      </w:r>
      <w:hyperlink r:id="rId9" w:history="1">
        <w:r w:rsidRPr="00DE6AB5">
          <w:rPr>
            <w:rStyle w:val="Hyperlink"/>
          </w:rPr>
          <w:t>https://data.worldbank.org/indicator/BX.TRF.PWKR.DT.GD.ZS?locations=EG</w:t>
        </w:r>
      </w:hyperlink>
    </w:p>
    <w:p w14:paraId="1DD7C5FE" w14:textId="6F25319E" w:rsidR="00375F46" w:rsidRDefault="00375F46" w:rsidP="00375F46">
      <w:pPr>
        <w:ind w:left="720"/>
      </w:pPr>
      <w:r w:rsidRPr="00375F46">
        <w:rPr>
          <w:rStyle w:val="Strong"/>
        </w:rPr>
        <w:t xml:space="preserve">Download Data: </w:t>
      </w:r>
      <w:hyperlink r:id="rId10" w:history="1">
        <w:r w:rsidRPr="00DE6AB5">
          <w:rPr>
            <w:rStyle w:val="Hyperlink"/>
          </w:rPr>
          <w:t>https://api.worldbank.org/v2/en/indicator/BX.TRF.PWKR.DT.GD.ZS?downloadformat=csv</w:t>
        </w:r>
      </w:hyperlink>
    </w:p>
    <w:p w14:paraId="05426EE1" w14:textId="77777777" w:rsidR="00375F46" w:rsidRDefault="00375F46" w:rsidP="00375F46">
      <w:pPr>
        <w:ind w:left="630"/>
      </w:pPr>
      <w:r>
        <w:tab/>
      </w: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375F46" w14:paraId="4D77FD41"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60A456CC" w14:textId="77777777" w:rsidR="00375F46" w:rsidRDefault="00375F46" w:rsidP="00432F43">
            <w:pPr>
              <w:rPr>
                <w:rFonts w:ascii="Aptos Narrow" w:hAnsi="Aptos Narrow"/>
                <w:color w:val="000000"/>
              </w:rPr>
            </w:pPr>
          </w:p>
        </w:tc>
        <w:tc>
          <w:tcPr>
            <w:tcW w:w="4074" w:type="dxa"/>
          </w:tcPr>
          <w:p w14:paraId="1BA2BEA2" w14:textId="77777777" w:rsidR="00375F46" w:rsidRDefault="00375F46"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375F46" w14:paraId="2C2BE139"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0F3B8D7E" w14:textId="77777777" w:rsidR="00375F46" w:rsidRPr="00176E41" w:rsidRDefault="00375F46" w:rsidP="00432F43">
            <w:pPr>
              <w:rPr>
                <w:rFonts w:ascii="Aptos Narrow" w:hAnsi="Aptos Narrow"/>
                <w:color w:val="000000"/>
              </w:rPr>
            </w:pPr>
            <w:r>
              <w:rPr>
                <w:rFonts w:ascii="Aptos Narrow" w:hAnsi="Aptos Narrow"/>
                <w:caps w:val="0"/>
                <w:color w:val="000000"/>
              </w:rPr>
              <w:t>Indicator_Code</w:t>
            </w:r>
          </w:p>
        </w:tc>
        <w:tc>
          <w:tcPr>
            <w:tcW w:w="4074" w:type="dxa"/>
          </w:tcPr>
          <w:p w14:paraId="6D0D21DF" w14:textId="77777777" w:rsidR="00375F46" w:rsidRDefault="00375F46" w:rsidP="00375F46">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BX.TRF.PWKR.DT.GD.ZS</w:t>
            </w:r>
          </w:p>
          <w:p w14:paraId="47CA04ED" w14:textId="77777777" w:rsidR="00375F46" w:rsidRPr="00176E41" w:rsidRDefault="00375F46"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375F46" w14:paraId="4FBDE2E9"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2A6C1B7A" w14:textId="77777777" w:rsidR="00375F46" w:rsidRPr="00176E41" w:rsidRDefault="00375F46" w:rsidP="00432F43">
            <w:pPr>
              <w:rPr>
                <w:rFonts w:ascii="Aptos Narrow" w:hAnsi="Aptos Narrow"/>
                <w:color w:val="000000"/>
              </w:rPr>
            </w:pPr>
            <w:r>
              <w:rPr>
                <w:rFonts w:ascii="Aptos Narrow" w:hAnsi="Aptos Narrow"/>
                <w:caps w:val="0"/>
                <w:color w:val="000000"/>
              </w:rPr>
              <w:t>Indicator_Name</w:t>
            </w:r>
          </w:p>
        </w:tc>
        <w:tc>
          <w:tcPr>
            <w:tcW w:w="4074" w:type="dxa"/>
          </w:tcPr>
          <w:p w14:paraId="377B2700" w14:textId="77777777" w:rsidR="00375F46" w:rsidRDefault="00375F46" w:rsidP="00375F46">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Personal remittances, received (% of GDP)</w:t>
            </w:r>
          </w:p>
          <w:p w14:paraId="58ABBEA7" w14:textId="77777777" w:rsidR="00375F46" w:rsidRPr="00176E41" w:rsidRDefault="00375F46"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375F46" w14:paraId="25336B1F"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42B6E11B" w14:textId="77777777" w:rsidR="00375F46" w:rsidRPr="00176E41" w:rsidRDefault="00375F46" w:rsidP="00432F43">
            <w:pPr>
              <w:rPr>
                <w:rFonts w:ascii="Aptos Narrow" w:hAnsi="Aptos Narrow"/>
                <w:color w:val="000000"/>
              </w:rPr>
            </w:pPr>
            <w:r>
              <w:rPr>
                <w:rFonts w:ascii="Aptos Narrow" w:hAnsi="Aptos Narrow"/>
                <w:caps w:val="0"/>
                <w:color w:val="000000"/>
              </w:rPr>
              <w:t>Source_Note</w:t>
            </w:r>
          </w:p>
        </w:tc>
        <w:tc>
          <w:tcPr>
            <w:tcW w:w="4074" w:type="dxa"/>
          </w:tcPr>
          <w:p w14:paraId="18992DEB" w14:textId="77777777" w:rsidR="00375F46" w:rsidRDefault="00375F46" w:rsidP="00375F46">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Personal remittances comprise personal transfers and compensation of employees. Personal transfers consist of all current transfers in cash or in kind made or received by resident households to or from nonresident households. Personal transfers thus include all current transfers between resident and nonresident individuals. Compensation of employees refers to the income of border, seasonal, and other short-term workers who are employed in an economy where they are not resident and of residents employed by nonresident entities. Data are the sum of two items defined in the sixth edition of the IMF's Balance of Payments Manual: personal transfers and compensation of employees.</w:t>
            </w:r>
          </w:p>
          <w:p w14:paraId="37CF4268" w14:textId="77777777" w:rsidR="00375F46" w:rsidRPr="00176E41" w:rsidRDefault="00375F46"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375F46" w14:paraId="7EB5C7C2"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40A147D9" w14:textId="77777777" w:rsidR="00375F46" w:rsidRDefault="00375F46" w:rsidP="00432F43">
            <w:pPr>
              <w:rPr>
                <w:rFonts w:ascii="Aptos Narrow" w:hAnsi="Aptos Narrow"/>
                <w:color w:val="000000"/>
              </w:rPr>
            </w:pPr>
            <w:r>
              <w:rPr>
                <w:rFonts w:ascii="Aptos Narrow" w:hAnsi="Aptos Narrow"/>
                <w:caps w:val="0"/>
                <w:color w:val="000000"/>
              </w:rPr>
              <w:lastRenderedPageBreak/>
              <w:t>Source_Organization</w:t>
            </w:r>
          </w:p>
        </w:tc>
        <w:tc>
          <w:tcPr>
            <w:tcW w:w="4074" w:type="dxa"/>
          </w:tcPr>
          <w:p w14:paraId="6AB5D933" w14:textId="77777777" w:rsidR="00375F46" w:rsidRDefault="00375F46" w:rsidP="00375F46">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World Bank staff estimates based on IMF balance of payments data, and World Bank and OECD GDP estimates.</w:t>
            </w:r>
          </w:p>
          <w:p w14:paraId="064E2388" w14:textId="251F6E76" w:rsidR="00375F46" w:rsidRPr="00176E41" w:rsidRDefault="00375F46"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7305C924" w14:textId="1EBD55E4" w:rsidR="00375F46" w:rsidRPr="00375F46" w:rsidRDefault="00375F46" w:rsidP="00375F46"/>
    <w:p w14:paraId="21EF3B4A" w14:textId="53F7ACB0" w:rsidR="008C427A" w:rsidRDefault="008C427A" w:rsidP="008C427A">
      <w:pPr>
        <w:pStyle w:val="Heading1"/>
        <w:rPr>
          <w:u w:val="single"/>
        </w:rPr>
      </w:pPr>
      <w:bookmarkStart w:id="2" w:name="_Toc191211903"/>
      <w:r w:rsidRPr="008C427A">
        <w:rPr>
          <w:u w:val="single"/>
        </w:rPr>
        <w:t>Real Effective Exchange Rate (REER)</w:t>
      </w:r>
      <w:bookmarkEnd w:id="2"/>
    </w:p>
    <w:p w14:paraId="26422321" w14:textId="77777777" w:rsidR="008C427A" w:rsidRDefault="008C427A" w:rsidP="008C427A"/>
    <w:p w14:paraId="0F1F757A" w14:textId="6C5979B5" w:rsidR="008C427A" w:rsidRDefault="008C427A" w:rsidP="008C427A">
      <w:r>
        <w:rPr>
          <w:rStyle w:val="Strong"/>
        </w:rPr>
        <w:t xml:space="preserve">Real Effective Exchange Rate: </w:t>
      </w:r>
      <w:hyperlink r:id="rId11" w:history="1">
        <w:r w:rsidRPr="00DE6AB5">
          <w:rPr>
            <w:rStyle w:val="Hyperlink"/>
          </w:rPr>
          <w:t>https://data.worldbank.org/indicator/PX.REX.REER?locations=EG</w:t>
        </w:r>
      </w:hyperlink>
    </w:p>
    <w:p w14:paraId="6E96DBB3" w14:textId="0C720F34" w:rsidR="008C427A" w:rsidRDefault="008C427A" w:rsidP="008C427A">
      <w:pPr>
        <w:ind w:left="630"/>
      </w:pPr>
      <w:r w:rsidRPr="008C427A">
        <w:rPr>
          <w:rStyle w:val="Strong"/>
        </w:rPr>
        <w:t>Download Raw Data:</w:t>
      </w:r>
      <w:r>
        <w:t xml:space="preserve"> </w:t>
      </w:r>
      <w:hyperlink r:id="rId12" w:history="1">
        <w:r w:rsidRPr="00DE6AB5">
          <w:rPr>
            <w:rStyle w:val="Hyperlink"/>
          </w:rPr>
          <w:t>https://api.worldbank.org/v2/en/indicator/PX.REX.REER?downloadformat=csv</w:t>
        </w:r>
      </w:hyperlink>
    </w:p>
    <w:p w14:paraId="7F6C943C" w14:textId="1F670A89" w:rsidR="00176E41" w:rsidRDefault="00176E41" w:rsidP="008C427A">
      <w:pPr>
        <w:ind w:left="630"/>
      </w:pP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176E41" w14:paraId="7E4CA147" w14:textId="77777777" w:rsidTr="00176E41">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774C92DF" w14:textId="77777777" w:rsidR="00176E41" w:rsidRDefault="00176E41" w:rsidP="008C427A">
            <w:pPr>
              <w:rPr>
                <w:rFonts w:ascii="Aptos Narrow" w:hAnsi="Aptos Narrow"/>
                <w:color w:val="000000"/>
              </w:rPr>
            </w:pPr>
          </w:p>
        </w:tc>
        <w:tc>
          <w:tcPr>
            <w:tcW w:w="4074" w:type="dxa"/>
          </w:tcPr>
          <w:p w14:paraId="4FAB6B9F" w14:textId="77777777" w:rsidR="00176E41" w:rsidRDefault="00176E41" w:rsidP="008C427A">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176E41" w14:paraId="7F2AFBC1" w14:textId="77777777" w:rsidTr="00176E4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5EDC783D" w14:textId="11DA6B96" w:rsidR="00176E41" w:rsidRPr="00176E41" w:rsidRDefault="00176E41" w:rsidP="008C427A">
            <w:pPr>
              <w:rPr>
                <w:rFonts w:ascii="Aptos Narrow" w:hAnsi="Aptos Narrow"/>
                <w:color w:val="000000"/>
              </w:rPr>
            </w:pPr>
            <w:r>
              <w:rPr>
                <w:rFonts w:ascii="Aptos Narrow" w:hAnsi="Aptos Narrow"/>
                <w:caps w:val="0"/>
                <w:color w:val="000000"/>
              </w:rPr>
              <w:t>Indicator_Code</w:t>
            </w:r>
          </w:p>
        </w:tc>
        <w:tc>
          <w:tcPr>
            <w:tcW w:w="4074" w:type="dxa"/>
          </w:tcPr>
          <w:p w14:paraId="6FB85452" w14:textId="77777777" w:rsidR="00176E41" w:rsidRDefault="00176E41" w:rsidP="008C427A">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PX.REX.REER</w:t>
            </w:r>
          </w:p>
          <w:p w14:paraId="4AFDA18A" w14:textId="32FCFAD5" w:rsidR="00176E41" w:rsidRPr="00176E41" w:rsidRDefault="00176E41" w:rsidP="008C427A">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176E41" w14:paraId="1D7A3365" w14:textId="77777777" w:rsidTr="00176E41">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2F09060A" w14:textId="4C0B91D8" w:rsidR="00176E41" w:rsidRPr="00176E41" w:rsidRDefault="00176E41" w:rsidP="00176E41">
            <w:pPr>
              <w:rPr>
                <w:rFonts w:ascii="Aptos Narrow" w:hAnsi="Aptos Narrow"/>
                <w:color w:val="000000"/>
              </w:rPr>
            </w:pPr>
            <w:r>
              <w:rPr>
                <w:rFonts w:ascii="Aptos Narrow" w:hAnsi="Aptos Narrow"/>
                <w:caps w:val="0"/>
                <w:color w:val="000000"/>
              </w:rPr>
              <w:t>Indicator_Name</w:t>
            </w:r>
          </w:p>
        </w:tc>
        <w:tc>
          <w:tcPr>
            <w:tcW w:w="4074" w:type="dxa"/>
          </w:tcPr>
          <w:p w14:paraId="2D78A04D" w14:textId="77777777" w:rsidR="00176E41" w:rsidRDefault="00176E41" w:rsidP="008C427A">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Real effective exchange rate index (2010 = 100)</w:t>
            </w:r>
          </w:p>
          <w:p w14:paraId="083968E8" w14:textId="4AF9228D" w:rsidR="00176E41" w:rsidRPr="00176E41" w:rsidRDefault="00176E41" w:rsidP="008C427A">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176E41" w14:paraId="701658EE" w14:textId="77777777" w:rsidTr="00176E41">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74127C7C" w14:textId="209456DA" w:rsidR="00176E41" w:rsidRPr="00176E41" w:rsidRDefault="00176E41" w:rsidP="008C427A">
            <w:pPr>
              <w:rPr>
                <w:rFonts w:ascii="Aptos Narrow" w:hAnsi="Aptos Narrow"/>
                <w:color w:val="000000"/>
              </w:rPr>
            </w:pPr>
            <w:r>
              <w:rPr>
                <w:rFonts w:ascii="Aptos Narrow" w:hAnsi="Aptos Narrow"/>
                <w:caps w:val="0"/>
                <w:color w:val="000000"/>
              </w:rPr>
              <w:t>Source_Note</w:t>
            </w:r>
          </w:p>
        </w:tc>
        <w:tc>
          <w:tcPr>
            <w:tcW w:w="4074" w:type="dxa"/>
          </w:tcPr>
          <w:p w14:paraId="50DEEFB7" w14:textId="77777777" w:rsidR="00176E41" w:rsidRDefault="00176E41" w:rsidP="008C427A">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Real effective exchange rate is the nominal effective exchange rate (a measure of the value of a currency against a weighted average of several foreign currencies) divided by a price deflator or index of costs.</w:t>
            </w:r>
          </w:p>
          <w:p w14:paraId="043E963D" w14:textId="54E3BC68" w:rsidR="00176E41" w:rsidRPr="00176E41" w:rsidRDefault="00176E41" w:rsidP="008C427A">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176E41" w14:paraId="5D3B6686" w14:textId="77777777" w:rsidTr="00176E41">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5800F2E6" w14:textId="7C5C982F" w:rsidR="00176E41" w:rsidRDefault="00176E41" w:rsidP="008C427A">
            <w:pPr>
              <w:rPr>
                <w:rFonts w:ascii="Aptos Narrow" w:hAnsi="Aptos Narrow"/>
                <w:color w:val="000000"/>
              </w:rPr>
            </w:pPr>
            <w:r>
              <w:rPr>
                <w:rFonts w:ascii="Aptos Narrow" w:hAnsi="Aptos Narrow"/>
                <w:caps w:val="0"/>
                <w:color w:val="000000"/>
              </w:rPr>
              <w:t>Source_Organization</w:t>
            </w:r>
          </w:p>
        </w:tc>
        <w:tc>
          <w:tcPr>
            <w:tcW w:w="4074" w:type="dxa"/>
          </w:tcPr>
          <w:p w14:paraId="37734C1B" w14:textId="388B590B" w:rsidR="00176E41" w:rsidRPr="00176E41" w:rsidRDefault="00176E41" w:rsidP="008C427A">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International Monetary Fund, International Financial Statistics.</w:t>
            </w:r>
          </w:p>
        </w:tc>
      </w:tr>
    </w:tbl>
    <w:p w14:paraId="188C2506" w14:textId="77777777" w:rsidR="00176E41" w:rsidRDefault="00176E41" w:rsidP="008C427A">
      <w:pPr>
        <w:ind w:left="630"/>
      </w:pPr>
    </w:p>
    <w:p w14:paraId="5D026181" w14:textId="01BEE323" w:rsidR="008C427A" w:rsidRPr="005D0DDC" w:rsidRDefault="008F7602" w:rsidP="008F7602">
      <w:pPr>
        <w:pStyle w:val="Heading1"/>
        <w:rPr>
          <w:rStyle w:val="Strong"/>
          <w:b w:val="0"/>
          <w:bCs w:val="0"/>
          <w:u w:val="single"/>
        </w:rPr>
      </w:pPr>
      <w:bookmarkStart w:id="3" w:name="_Toc191211904"/>
      <w:r w:rsidRPr="005D0DDC">
        <w:rPr>
          <w:rStyle w:val="Strong"/>
          <w:b w:val="0"/>
          <w:bCs w:val="0"/>
          <w:u w:val="single"/>
        </w:rPr>
        <w:t>Inflation Rate (Percent)</w:t>
      </w:r>
      <w:bookmarkEnd w:id="3"/>
    </w:p>
    <w:p w14:paraId="430B997F" w14:textId="77777777" w:rsidR="008F7602" w:rsidRDefault="008F7602" w:rsidP="008F7602"/>
    <w:p w14:paraId="07EBADB8" w14:textId="6D8589C4" w:rsidR="008F7602" w:rsidRDefault="008F7602" w:rsidP="008F7602">
      <w:r w:rsidRPr="008F7602">
        <w:rPr>
          <w:rStyle w:val="Strong"/>
        </w:rPr>
        <w:t>Inflation Rate (Percent):</w:t>
      </w:r>
      <w:r>
        <w:t xml:space="preserve"> </w:t>
      </w:r>
      <w:hyperlink r:id="rId13" w:history="1">
        <w:r w:rsidRPr="00DE6AB5">
          <w:rPr>
            <w:rStyle w:val="Hyperlink"/>
          </w:rPr>
          <w:t>https://data.worldbank.org/indicator/FP.CPI.TOTL.ZG?locations=EG</w:t>
        </w:r>
      </w:hyperlink>
    </w:p>
    <w:p w14:paraId="0CEC5669" w14:textId="1BF8FDCA" w:rsidR="008F7602" w:rsidRDefault="008F7602" w:rsidP="008F7602">
      <w:r>
        <w:tab/>
      </w:r>
      <w:r w:rsidRPr="008F7602">
        <w:rPr>
          <w:rStyle w:val="Strong"/>
        </w:rPr>
        <w:t>Download Data:</w:t>
      </w:r>
      <w:r>
        <w:t xml:space="preserve"> </w:t>
      </w:r>
      <w:hyperlink r:id="rId14" w:history="1">
        <w:r w:rsidRPr="00DE6AB5">
          <w:rPr>
            <w:rStyle w:val="Hyperlink"/>
          </w:rPr>
          <w:t>https://api.worldbank.org/v2/en/indicator/FP.CPI.TOTL.ZG?downloadformat=csv</w:t>
        </w:r>
      </w:hyperlink>
    </w:p>
    <w:p w14:paraId="50EC01EF" w14:textId="22565A8D" w:rsidR="008F7602" w:rsidRPr="008F7602" w:rsidRDefault="008F7602" w:rsidP="008F7602">
      <w:pPr>
        <w:rPr>
          <w:b/>
          <w:bCs/>
        </w:rPr>
      </w:pPr>
      <w:r>
        <w:tab/>
      </w:r>
      <w:r w:rsidRPr="008F7602">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8F7602" w14:paraId="2FF579C9"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0912FDC7" w14:textId="77777777" w:rsidR="008F7602" w:rsidRDefault="008F7602" w:rsidP="00432F43">
            <w:pPr>
              <w:rPr>
                <w:rFonts w:ascii="Aptos Narrow" w:hAnsi="Aptos Narrow"/>
                <w:color w:val="000000"/>
              </w:rPr>
            </w:pPr>
          </w:p>
        </w:tc>
        <w:tc>
          <w:tcPr>
            <w:tcW w:w="4074" w:type="dxa"/>
          </w:tcPr>
          <w:p w14:paraId="389E6780" w14:textId="77777777" w:rsidR="008F7602" w:rsidRDefault="008F7602"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8F7602" w14:paraId="018AB356"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774DD727" w14:textId="77777777" w:rsidR="008F7602" w:rsidRPr="00176E41" w:rsidRDefault="008F7602" w:rsidP="00432F43">
            <w:pPr>
              <w:rPr>
                <w:rFonts w:ascii="Aptos Narrow" w:hAnsi="Aptos Narrow"/>
                <w:color w:val="000000"/>
              </w:rPr>
            </w:pPr>
            <w:r>
              <w:rPr>
                <w:rFonts w:ascii="Aptos Narrow" w:hAnsi="Aptos Narrow"/>
                <w:caps w:val="0"/>
                <w:color w:val="000000"/>
              </w:rPr>
              <w:t>Indicator_Code</w:t>
            </w:r>
          </w:p>
        </w:tc>
        <w:tc>
          <w:tcPr>
            <w:tcW w:w="4074" w:type="dxa"/>
          </w:tcPr>
          <w:p w14:paraId="55392810" w14:textId="77777777" w:rsidR="008F7602" w:rsidRDefault="008F7602" w:rsidP="008F7602">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FP.CPI.TOTL.ZG</w:t>
            </w:r>
          </w:p>
          <w:p w14:paraId="486C65D0" w14:textId="77777777" w:rsidR="008F7602" w:rsidRPr="00176E41" w:rsidRDefault="008F7602"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8F7602" w14:paraId="45881ECE"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410E92C7" w14:textId="77777777" w:rsidR="008F7602" w:rsidRPr="00176E41" w:rsidRDefault="008F7602" w:rsidP="00432F43">
            <w:pPr>
              <w:rPr>
                <w:rFonts w:ascii="Aptos Narrow" w:hAnsi="Aptos Narrow"/>
                <w:color w:val="000000"/>
              </w:rPr>
            </w:pPr>
            <w:r>
              <w:rPr>
                <w:rFonts w:ascii="Aptos Narrow" w:hAnsi="Aptos Narrow"/>
                <w:caps w:val="0"/>
                <w:color w:val="000000"/>
              </w:rPr>
              <w:lastRenderedPageBreak/>
              <w:t>Indicator_Name</w:t>
            </w:r>
          </w:p>
        </w:tc>
        <w:tc>
          <w:tcPr>
            <w:tcW w:w="4074" w:type="dxa"/>
          </w:tcPr>
          <w:p w14:paraId="09E5C28E" w14:textId="77777777" w:rsidR="008F7602" w:rsidRDefault="008F7602" w:rsidP="008F7602">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Inflation, consumer prices (annual %)</w:t>
            </w:r>
          </w:p>
          <w:p w14:paraId="14DEE1C6" w14:textId="77777777" w:rsidR="008F7602" w:rsidRPr="00176E41" w:rsidRDefault="008F7602"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8F7602" w14:paraId="7CFC4369"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12128F51" w14:textId="77777777" w:rsidR="008F7602" w:rsidRPr="00176E41" w:rsidRDefault="008F7602" w:rsidP="00432F43">
            <w:pPr>
              <w:rPr>
                <w:rFonts w:ascii="Aptos Narrow" w:hAnsi="Aptos Narrow"/>
                <w:color w:val="000000"/>
              </w:rPr>
            </w:pPr>
            <w:r>
              <w:rPr>
                <w:rFonts w:ascii="Aptos Narrow" w:hAnsi="Aptos Narrow"/>
                <w:caps w:val="0"/>
                <w:color w:val="000000"/>
              </w:rPr>
              <w:t>Source_Note</w:t>
            </w:r>
          </w:p>
        </w:tc>
        <w:tc>
          <w:tcPr>
            <w:tcW w:w="4074" w:type="dxa"/>
          </w:tcPr>
          <w:p w14:paraId="37B315A0" w14:textId="77777777" w:rsidR="008F7602" w:rsidRDefault="008F7602" w:rsidP="008F7602">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Inflation as measured by the consumer price index reflects the annual percentage change in the cost to the average consumer of acquiring a basket of goods and services that may be fixed or changed at specified intervals, such as yearly. The Laspeyres formula is generally used.</w:t>
            </w:r>
          </w:p>
          <w:p w14:paraId="3B49101F" w14:textId="77777777" w:rsidR="008F7602" w:rsidRPr="00176E41" w:rsidRDefault="008F7602"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8F7602" w14:paraId="4CD9F74B"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74B2FE4A" w14:textId="77777777" w:rsidR="008F7602" w:rsidRDefault="008F7602" w:rsidP="00432F43">
            <w:pPr>
              <w:rPr>
                <w:rFonts w:ascii="Aptos Narrow" w:hAnsi="Aptos Narrow"/>
                <w:color w:val="000000"/>
              </w:rPr>
            </w:pPr>
            <w:r>
              <w:rPr>
                <w:rFonts w:ascii="Aptos Narrow" w:hAnsi="Aptos Narrow"/>
                <w:caps w:val="0"/>
                <w:color w:val="000000"/>
              </w:rPr>
              <w:t>Source_Organization</w:t>
            </w:r>
          </w:p>
        </w:tc>
        <w:tc>
          <w:tcPr>
            <w:tcW w:w="4074" w:type="dxa"/>
          </w:tcPr>
          <w:p w14:paraId="60457D46" w14:textId="77777777" w:rsidR="008F7602" w:rsidRDefault="008F7602" w:rsidP="008F7602">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International Monetary Fund, International Financial Statistics and data files.</w:t>
            </w:r>
          </w:p>
          <w:p w14:paraId="11D2537F" w14:textId="7EB8A8D6" w:rsidR="008F7602" w:rsidRPr="00176E41" w:rsidRDefault="008F7602"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4E4A1797" w14:textId="10817180" w:rsidR="008F7602" w:rsidRDefault="008F7602" w:rsidP="008F7602"/>
    <w:p w14:paraId="060C658C" w14:textId="24A47601" w:rsidR="00F10604" w:rsidRPr="00F10604" w:rsidRDefault="00F10604" w:rsidP="00F10604">
      <w:pPr>
        <w:pStyle w:val="Heading1"/>
        <w:rPr>
          <w:u w:val="single"/>
        </w:rPr>
      </w:pPr>
      <w:bookmarkStart w:id="4" w:name="_Toc191211905"/>
      <w:r w:rsidRPr="00F10604">
        <w:rPr>
          <w:u w:val="single"/>
        </w:rPr>
        <w:t>International Migrant Stock</w:t>
      </w:r>
      <w:bookmarkEnd w:id="4"/>
    </w:p>
    <w:p w14:paraId="166B49CF" w14:textId="3324C9BC" w:rsidR="00F10604" w:rsidRDefault="00F10604" w:rsidP="008F7602">
      <w:r w:rsidRPr="00F10604">
        <w:rPr>
          <w:rStyle w:val="Strong"/>
        </w:rPr>
        <w:t>International Migrant Stock (UN):</w:t>
      </w:r>
      <w:r>
        <w:t xml:space="preserve"> </w:t>
      </w:r>
      <w:hyperlink r:id="rId15" w:history="1">
        <w:r w:rsidRPr="00DE6AB5">
          <w:rPr>
            <w:rStyle w:val="Hyperlink"/>
          </w:rPr>
          <w:t>https://www.un.org/development/desa/pd/content/international-migrant-stock</w:t>
        </w:r>
      </w:hyperlink>
    </w:p>
    <w:p w14:paraId="1A664218" w14:textId="01B6E325" w:rsidR="00F10604" w:rsidRDefault="00F10604" w:rsidP="00F10604">
      <w:pPr>
        <w:ind w:left="720"/>
      </w:pPr>
      <w:r w:rsidRPr="00F10604">
        <w:rPr>
          <w:rStyle w:val="Strong"/>
        </w:rPr>
        <w:t>Download Data</w:t>
      </w:r>
      <w:r w:rsidR="00480553">
        <w:rPr>
          <w:rStyle w:val="Strong"/>
        </w:rPr>
        <w:t xml:space="preserve"> (By Destination and Origin)</w:t>
      </w:r>
      <w:r w:rsidRPr="00F10604">
        <w:rPr>
          <w:rStyle w:val="Strong"/>
        </w:rPr>
        <w:t xml:space="preserve">: </w:t>
      </w:r>
      <w:hyperlink r:id="rId16" w:history="1">
        <w:r w:rsidRPr="00DE6AB5">
          <w:rPr>
            <w:rStyle w:val="Hyperlink"/>
          </w:rPr>
          <w:t>https://www.un.org/development/desa/pd/sites/www.un.org.development.desa.pd/files/undesa_pd_2024_ims_stock_by_sex_destination_and_origin.xlsx</w:t>
        </w:r>
      </w:hyperlink>
    </w:p>
    <w:p w14:paraId="5F6ABE9B" w14:textId="52C3BDE9" w:rsidR="00480553" w:rsidRDefault="00480553" w:rsidP="00F10604">
      <w:pPr>
        <w:ind w:left="720"/>
      </w:pPr>
      <w:r>
        <w:rPr>
          <w:rStyle w:val="Strong"/>
        </w:rPr>
        <w:t>Download Data (By Destination):</w:t>
      </w:r>
    </w:p>
    <w:p w14:paraId="14B894FD" w14:textId="3972C92F" w:rsidR="00480553" w:rsidRDefault="00480553" w:rsidP="00F10604">
      <w:pPr>
        <w:ind w:left="720"/>
      </w:pPr>
      <w:hyperlink r:id="rId17" w:history="1">
        <w:r w:rsidRPr="00DE6AB5">
          <w:rPr>
            <w:rStyle w:val="Hyperlink"/>
          </w:rPr>
          <w:t>https://www.un.org/development/desa/pd/sites/www.un.org.development.desa.pd/files/undesa_pd_2024_ims_stock_by_sex_and_destination.xlsx</w:t>
        </w:r>
      </w:hyperlink>
    </w:p>
    <w:p w14:paraId="20AF85FE" w14:textId="5F6CB66F" w:rsidR="00480553" w:rsidRDefault="00480553" w:rsidP="00F10604">
      <w:pPr>
        <w:ind w:left="720"/>
        <w:rPr>
          <w:rStyle w:val="Strong"/>
        </w:rPr>
      </w:pPr>
      <w:r>
        <w:rPr>
          <w:rStyle w:val="Strong"/>
        </w:rPr>
        <w:t xml:space="preserve">Download Data (By Origin): </w:t>
      </w:r>
      <w:hyperlink r:id="rId18" w:history="1">
        <w:r w:rsidRPr="00DE6AB5">
          <w:rPr>
            <w:rStyle w:val="Hyperlink"/>
          </w:rPr>
          <w:t>https://www.un.org/development/desa/pd/sites/www.un.org.development.desa.pd/files/undesa_pd_2024_ims_stock_by_sex_and_origin.xlsx</w:t>
        </w:r>
      </w:hyperlink>
    </w:p>
    <w:p w14:paraId="442C047E" w14:textId="77777777" w:rsidR="00480553" w:rsidRPr="00480553" w:rsidRDefault="00480553" w:rsidP="00F10604">
      <w:pPr>
        <w:ind w:left="720"/>
        <w:rPr>
          <w:rStyle w:val="Strong"/>
        </w:rPr>
      </w:pPr>
    </w:p>
    <w:p w14:paraId="26BCC9A9" w14:textId="03562215" w:rsidR="00F10604" w:rsidRPr="00F10604" w:rsidRDefault="00F10604" w:rsidP="00F10604">
      <w:pPr>
        <w:pStyle w:val="Heading1"/>
        <w:rPr>
          <w:u w:val="single"/>
        </w:rPr>
      </w:pPr>
      <w:bookmarkStart w:id="5" w:name="_Toc191211906"/>
      <w:r w:rsidRPr="00F10604">
        <w:rPr>
          <w:u w:val="single"/>
        </w:rPr>
        <w:t>International Migrant Flows</w:t>
      </w:r>
      <w:bookmarkEnd w:id="5"/>
    </w:p>
    <w:p w14:paraId="446F416E" w14:textId="19A746C7" w:rsidR="00F10604" w:rsidRDefault="00F10604" w:rsidP="008F7602">
      <w:r w:rsidRPr="00F10604">
        <w:rPr>
          <w:rStyle w:val="Strong"/>
        </w:rPr>
        <w:t>International Migrant Flows (UN):</w:t>
      </w:r>
      <w:r>
        <w:t xml:space="preserve"> </w:t>
      </w:r>
      <w:hyperlink r:id="rId19" w:history="1">
        <w:r w:rsidRPr="00DE6AB5">
          <w:rPr>
            <w:rStyle w:val="Hyperlink"/>
          </w:rPr>
          <w:t>https://www.un.org/development/desa/pd/data/international-migration-flows</w:t>
        </w:r>
      </w:hyperlink>
    </w:p>
    <w:p w14:paraId="0F20A04B" w14:textId="5794BD02" w:rsidR="00F10604" w:rsidRDefault="00F10604" w:rsidP="00F10604">
      <w:pPr>
        <w:ind w:left="720"/>
      </w:pPr>
      <w:r w:rsidRPr="00F10604">
        <w:rPr>
          <w:rStyle w:val="Strong"/>
        </w:rPr>
        <w:t>Download Data:</w:t>
      </w:r>
      <w:r>
        <w:t xml:space="preserve"> </w:t>
      </w:r>
      <w:hyperlink r:id="rId20" w:history="1">
        <w:r w:rsidRPr="00DE6AB5">
          <w:rPr>
            <w:rStyle w:val="Hyperlink"/>
          </w:rPr>
          <w:t>https://www.un.org/development/desa/pd/sites/www.un.org.development.desa.pd/files/undesa_pd_2015_migration_flow_totals.xlsx</w:t>
        </w:r>
      </w:hyperlink>
    </w:p>
    <w:p w14:paraId="3CD314AA" w14:textId="5C572CBD" w:rsidR="005D0DDC" w:rsidRDefault="005D0DDC" w:rsidP="005D0DDC"/>
    <w:p w14:paraId="1118EA5C" w14:textId="77777777" w:rsidR="00D01CED" w:rsidRDefault="00D01CED" w:rsidP="00D01CED">
      <w:pPr>
        <w:pStyle w:val="Heading1"/>
      </w:pPr>
      <w:r>
        <w:lastRenderedPageBreak/>
        <w:t>Net Migration</w:t>
      </w:r>
    </w:p>
    <w:p w14:paraId="03E385CC" w14:textId="77777777" w:rsidR="00D01CED" w:rsidRDefault="00D01CED" w:rsidP="00D01CED">
      <w:r w:rsidRPr="008E6A18">
        <w:rPr>
          <w:rStyle w:val="Strong"/>
        </w:rPr>
        <w:t>Net Migration:</w:t>
      </w:r>
      <w:r>
        <w:t xml:space="preserve"> </w:t>
      </w:r>
      <w:hyperlink r:id="rId21" w:history="1">
        <w:r w:rsidRPr="00DE6AB5">
          <w:rPr>
            <w:rStyle w:val="Hyperlink"/>
          </w:rPr>
          <w:t>https://data.worldbank.org/indicator/SM.POP.NETM?locations=EG</w:t>
        </w:r>
      </w:hyperlink>
    </w:p>
    <w:p w14:paraId="33C138BF" w14:textId="25C9FBE7" w:rsidR="00D01CED" w:rsidRDefault="00D01CED" w:rsidP="00D01CED">
      <w:pPr>
        <w:ind w:left="720"/>
      </w:pPr>
      <w:r w:rsidRPr="008E6A18">
        <w:rPr>
          <w:rStyle w:val="Strong"/>
        </w:rPr>
        <w:t>Download Data:</w:t>
      </w:r>
      <w:r>
        <w:t xml:space="preserve"> </w:t>
      </w:r>
      <w:hyperlink r:id="rId22" w:history="1">
        <w:r w:rsidRPr="00DE6AB5">
          <w:rPr>
            <w:rStyle w:val="Hyperlink"/>
          </w:rPr>
          <w:t>https://api.worldbank.org/v2/en/indicator/SM.POP.NETM?downloadformat=csv</w:t>
        </w:r>
      </w:hyperlink>
    </w:p>
    <w:p w14:paraId="16AAD86C" w14:textId="77777777" w:rsidR="00D01CED" w:rsidRDefault="00D01CED" w:rsidP="00D01CED">
      <w:pPr>
        <w:ind w:left="630"/>
      </w:pP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D01CED" w14:paraId="2264B533"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333D6354" w14:textId="77777777" w:rsidR="00D01CED" w:rsidRDefault="00D01CED" w:rsidP="00432F43">
            <w:pPr>
              <w:rPr>
                <w:rFonts w:ascii="Aptos Narrow" w:hAnsi="Aptos Narrow"/>
                <w:color w:val="000000"/>
              </w:rPr>
            </w:pPr>
          </w:p>
        </w:tc>
        <w:tc>
          <w:tcPr>
            <w:tcW w:w="4074" w:type="dxa"/>
          </w:tcPr>
          <w:p w14:paraId="55185AEA" w14:textId="77777777" w:rsidR="00D01CED" w:rsidRDefault="00D01CED"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D01CED" w14:paraId="796515C7"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0C88387A" w14:textId="77777777" w:rsidR="00D01CED" w:rsidRPr="00176E41" w:rsidRDefault="00D01CED" w:rsidP="00432F43">
            <w:pPr>
              <w:rPr>
                <w:rFonts w:ascii="Aptos Narrow" w:hAnsi="Aptos Narrow"/>
                <w:color w:val="000000"/>
              </w:rPr>
            </w:pPr>
            <w:r>
              <w:rPr>
                <w:rFonts w:ascii="Aptos Narrow" w:hAnsi="Aptos Narrow"/>
                <w:caps w:val="0"/>
                <w:color w:val="000000"/>
              </w:rPr>
              <w:t>Indicator_Code</w:t>
            </w:r>
          </w:p>
        </w:tc>
        <w:tc>
          <w:tcPr>
            <w:tcW w:w="4074" w:type="dxa"/>
          </w:tcPr>
          <w:p w14:paraId="60EB56B7" w14:textId="77777777" w:rsidR="00D01CED" w:rsidRDefault="00D01CED"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SM.POP.NETM</w:t>
            </w:r>
          </w:p>
          <w:p w14:paraId="3F6AA5BD" w14:textId="77777777" w:rsidR="00D01CED" w:rsidRPr="00176E41" w:rsidRDefault="00D01CED"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D01CED" w14:paraId="1E4FA73C"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3601767E" w14:textId="77777777" w:rsidR="00D01CED" w:rsidRPr="00176E41" w:rsidRDefault="00D01CED" w:rsidP="00432F43">
            <w:pPr>
              <w:rPr>
                <w:rFonts w:ascii="Aptos Narrow" w:hAnsi="Aptos Narrow"/>
                <w:color w:val="000000"/>
              </w:rPr>
            </w:pPr>
            <w:r>
              <w:rPr>
                <w:rFonts w:ascii="Aptos Narrow" w:hAnsi="Aptos Narrow"/>
                <w:caps w:val="0"/>
                <w:color w:val="000000"/>
              </w:rPr>
              <w:t>Indicator_Name</w:t>
            </w:r>
          </w:p>
        </w:tc>
        <w:tc>
          <w:tcPr>
            <w:tcW w:w="4074" w:type="dxa"/>
          </w:tcPr>
          <w:p w14:paraId="712B9BB5" w14:textId="77777777" w:rsidR="00D01CED" w:rsidRDefault="00D01CED"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Net migration</w:t>
            </w:r>
          </w:p>
          <w:p w14:paraId="31016A16" w14:textId="77777777" w:rsidR="00D01CED" w:rsidRPr="00176E41" w:rsidRDefault="00D01CED"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D01CED" w14:paraId="13FF2B84"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70CF6915" w14:textId="77777777" w:rsidR="00D01CED" w:rsidRPr="00176E41" w:rsidRDefault="00D01CED" w:rsidP="00432F43">
            <w:pPr>
              <w:rPr>
                <w:rFonts w:ascii="Aptos Narrow" w:hAnsi="Aptos Narrow"/>
                <w:color w:val="000000"/>
              </w:rPr>
            </w:pPr>
            <w:r>
              <w:rPr>
                <w:rFonts w:ascii="Aptos Narrow" w:hAnsi="Aptos Narrow"/>
                <w:caps w:val="0"/>
                <w:color w:val="000000"/>
              </w:rPr>
              <w:t>Source_Note</w:t>
            </w:r>
          </w:p>
        </w:tc>
        <w:tc>
          <w:tcPr>
            <w:tcW w:w="4074" w:type="dxa"/>
          </w:tcPr>
          <w:p w14:paraId="5FFF44FC" w14:textId="77777777" w:rsidR="00D01CED" w:rsidRDefault="00D01CED"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Net migration is the net total of migrants during the period, that is, the number of immigrants minus the number of emigrants, including both citizens and noncitizens.</w:t>
            </w:r>
          </w:p>
          <w:p w14:paraId="5F066936" w14:textId="77777777" w:rsidR="00D01CED" w:rsidRPr="00176E41" w:rsidRDefault="00D01CED"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D01CED" w14:paraId="5D4B1DFB"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3F3513D6" w14:textId="77777777" w:rsidR="00D01CED" w:rsidRDefault="00D01CED" w:rsidP="00432F43">
            <w:pPr>
              <w:rPr>
                <w:rFonts w:ascii="Aptos Narrow" w:hAnsi="Aptos Narrow"/>
                <w:color w:val="000000"/>
              </w:rPr>
            </w:pPr>
            <w:r>
              <w:rPr>
                <w:rFonts w:ascii="Aptos Narrow" w:hAnsi="Aptos Narrow"/>
                <w:caps w:val="0"/>
                <w:color w:val="000000"/>
              </w:rPr>
              <w:t>Source_Organization</w:t>
            </w:r>
          </w:p>
        </w:tc>
        <w:tc>
          <w:tcPr>
            <w:tcW w:w="4074" w:type="dxa"/>
          </w:tcPr>
          <w:p w14:paraId="7246CB03" w14:textId="77777777" w:rsidR="00D01CED" w:rsidRDefault="00D01CED"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United Nations Population Division. World Population Prospects: 2024 Revision.</w:t>
            </w:r>
          </w:p>
          <w:p w14:paraId="20E71CDD" w14:textId="77777777" w:rsidR="00D01CED" w:rsidRPr="00176E41" w:rsidRDefault="00D01CED"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4FBFEDF7" w14:textId="77777777" w:rsidR="00D01CED" w:rsidRDefault="00D01CED" w:rsidP="005D0DDC"/>
    <w:p w14:paraId="47A6EFDC" w14:textId="77777777" w:rsidR="005D0DDC" w:rsidRDefault="005D0DDC" w:rsidP="005D0DDC"/>
    <w:p w14:paraId="68440DFA" w14:textId="2FD0AB28" w:rsidR="00F10604" w:rsidRDefault="005D0DDC" w:rsidP="005D0DDC">
      <w:pPr>
        <w:pStyle w:val="Heading1"/>
      </w:pPr>
      <w:r>
        <w:t>Gross Domestic Product (Current US$)</w:t>
      </w:r>
    </w:p>
    <w:p w14:paraId="33F1D4E0" w14:textId="6890CC6F" w:rsidR="005D0DDC" w:rsidRDefault="005D0DDC" w:rsidP="005D0DDC">
      <w:r w:rsidRPr="005D0DDC">
        <w:rPr>
          <w:rStyle w:val="Strong"/>
        </w:rPr>
        <w:t>Gross Domestic Product (Current US$)</w:t>
      </w:r>
      <w:r w:rsidRPr="005D0DDC">
        <w:rPr>
          <w:rStyle w:val="Strong"/>
        </w:rPr>
        <w:t xml:space="preserve">: </w:t>
      </w:r>
      <w:hyperlink r:id="rId23" w:history="1">
        <w:r w:rsidRPr="00DE6AB5">
          <w:rPr>
            <w:rStyle w:val="Hyperlink"/>
          </w:rPr>
          <w:t>https://data.worldbank.org/indicator/NY.GDP.MKTP.CD?locations=EG</w:t>
        </w:r>
      </w:hyperlink>
    </w:p>
    <w:p w14:paraId="1487BD32" w14:textId="315E02FF" w:rsidR="005D0DDC" w:rsidRDefault="005D0DDC" w:rsidP="005D0DDC">
      <w:pPr>
        <w:ind w:left="720"/>
      </w:pPr>
      <w:r w:rsidRPr="005D0DDC">
        <w:rPr>
          <w:rStyle w:val="Strong"/>
        </w:rPr>
        <w:t xml:space="preserve">Download Data: </w:t>
      </w:r>
      <w:hyperlink r:id="rId24" w:history="1">
        <w:r w:rsidRPr="00DE6AB5">
          <w:rPr>
            <w:rStyle w:val="Hyperlink"/>
          </w:rPr>
          <w:t>https://api.worldbank.org/v2/en/indicator/NY.GDP.MKTP.CD?downloadformat=csv</w:t>
        </w:r>
      </w:hyperlink>
    </w:p>
    <w:p w14:paraId="19E8483F" w14:textId="77777777" w:rsidR="005D0DDC" w:rsidRDefault="005D0DDC" w:rsidP="005D0DDC">
      <w:pPr>
        <w:ind w:left="630"/>
      </w:pP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5D0DDC" w14:paraId="21193B20"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7F285F64" w14:textId="77777777" w:rsidR="005D0DDC" w:rsidRDefault="005D0DDC" w:rsidP="00432F43">
            <w:pPr>
              <w:rPr>
                <w:rFonts w:ascii="Aptos Narrow" w:hAnsi="Aptos Narrow"/>
                <w:color w:val="000000"/>
              </w:rPr>
            </w:pPr>
          </w:p>
        </w:tc>
        <w:tc>
          <w:tcPr>
            <w:tcW w:w="4074" w:type="dxa"/>
          </w:tcPr>
          <w:p w14:paraId="4AE07C9C" w14:textId="77777777" w:rsidR="005D0DDC" w:rsidRDefault="005D0DDC"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5D0DDC" w14:paraId="3BB5B48F"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5FFDF4EB" w14:textId="77777777" w:rsidR="005D0DDC" w:rsidRPr="00176E41" w:rsidRDefault="005D0DDC" w:rsidP="00432F43">
            <w:pPr>
              <w:rPr>
                <w:rFonts w:ascii="Aptos Narrow" w:hAnsi="Aptos Narrow"/>
                <w:color w:val="000000"/>
              </w:rPr>
            </w:pPr>
            <w:r>
              <w:rPr>
                <w:rFonts w:ascii="Aptos Narrow" w:hAnsi="Aptos Narrow"/>
                <w:caps w:val="0"/>
                <w:color w:val="000000"/>
              </w:rPr>
              <w:t>Indicator_Code</w:t>
            </w:r>
          </w:p>
        </w:tc>
        <w:tc>
          <w:tcPr>
            <w:tcW w:w="4074" w:type="dxa"/>
          </w:tcPr>
          <w:p w14:paraId="58791437" w14:textId="77777777" w:rsidR="005D0DDC" w:rsidRDefault="005D0DDC" w:rsidP="005D0DDC">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NY.GDP.MKTP.CD</w:t>
            </w:r>
          </w:p>
          <w:p w14:paraId="076B5558" w14:textId="77777777" w:rsidR="005D0DDC" w:rsidRPr="00176E41" w:rsidRDefault="005D0DDC"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5D0DDC" w14:paraId="7BD1338A"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44DCB681" w14:textId="77777777" w:rsidR="005D0DDC" w:rsidRPr="00176E41" w:rsidRDefault="005D0DDC" w:rsidP="00432F43">
            <w:pPr>
              <w:rPr>
                <w:rFonts w:ascii="Aptos Narrow" w:hAnsi="Aptos Narrow"/>
                <w:color w:val="000000"/>
              </w:rPr>
            </w:pPr>
            <w:r>
              <w:rPr>
                <w:rFonts w:ascii="Aptos Narrow" w:hAnsi="Aptos Narrow"/>
                <w:caps w:val="0"/>
                <w:color w:val="000000"/>
              </w:rPr>
              <w:t>Indicator_Name</w:t>
            </w:r>
          </w:p>
        </w:tc>
        <w:tc>
          <w:tcPr>
            <w:tcW w:w="4074" w:type="dxa"/>
          </w:tcPr>
          <w:p w14:paraId="73B61FC2" w14:textId="77777777" w:rsidR="005D0DDC" w:rsidRDefault="005D0DDC" w:rsidP="005D0DDC">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GDP (current US$)</w:t>
            </w:r>
          </w:p>
          <w:p w14:paraId="08F6B6D8" w14:textId="77777777" w:rsidR="005D0DDC" w:rsidRPr="00176E41" w:rsidRDefault="005D0DDC"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5D0DDC" w14:paraId="225C06C3"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23B32261" w14:textId="77777777" w:rsidR="005D0DDC" w:rsidRPr="00176E41" w:rsidRDefault="005D0DDC" w:rsidP="00432F43">
            <w:pPr>
              <w:rPr>
                <w:rFonts w:ascii="Aptos Narrow" w:hAnsi="Aptos Narrow"/>
                <w:color w:val="000000"/>
              </w:rPr>
            </w:pPr>
            <w:r>
              <w:rPr>
                <w:rFonts w:ascii="Aptos Narrow" w:hAnsi="Aptos Narrow"/>
                <w:caps w:val="0"/>
                <w:color w:val="000000"/>
              </w:rPr>
              <w:t>Source_Note</w:t>
            </w:r>
          </w:p>
        </w:tc>
        <w:tc>
          <w:tcPr>
            <w:tcW w:w="4074" w:type="dxa"/>
          </w:tcPr>
          <w:p w14:paraId="4A99BA64" w14:textId="77777777" w:rsidR="005D0DDC" w:rsidRDefault="005D0DDC" w:rsidP="005D0DDC">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 xml:space="preserve">GDP at purchaser's prices is the sum of gross value added by all resident producers in the economy plus any product taxes and minus any subsidies not included in the value of the products. It is calculated without making deductions for depreciation </w:t>
            </w:r>
            <w:r>
              <w:rPr>
                <w:rFonts w:ascii="Aptos Narrow" w:hAnsi="Aptos Narrow"/>
                <w:color w:val="000000"/>
              </w:rPr>
              <w:lastRenderedPageBreak/>
              <w:t>of fabricated assets or for depletion and degradation of natural resources. Data are in current U.S. dollars. Dollar figures for GDP are converted from domestic currencies using single year official exchange rates. For a few countries where the official exchange rate does not reflect the rate effectively applied to actual foreign exchange transactions, an alternative conversion factor is used.</w:t>
            </w:r>
          </w:p>
          <w:p w14:paraId="298304CD" w14:textId="77777777" w:rsidR="005D0DDC" w:rsidRPr="00176E41" w:rsidRDefault="005D0DDC"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5D0DDC" w14:paraId="6EA1BC60"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3F7C3BF5" w14:textId="77777777" w:rsidR="005D0DDC" w:rsidRDefault="005D0DDC" w:rsidP="00432F43">
            <w:pPr>
              <w:rPr>
                <w:rFonts w:ascii="Aptos Narrow" w:hAnsi="Aptos Narrow"/>
                <w:color w:val="000000"/>
              </w:rPr>
            </w:pPr>
            <w:r>
              <w:rPr>
                <w:rFonts w:ascii="Aptos Narrow" w:hAnsi="Aptos Narrow"/>
                <w:caps w:val="0"/>
                <w:color w:val="000000"/>
              </w:rPr>
              <w:lastRenderedPageBreak/>
              <w:t>Source_Organization</w:t>
            </w:r>
          </w:p>
        </w:tc>
        <w:tc>
          <w:tcPr>
            <w:tcW w:w="4074" w:type="dxa"/>
          </w:tcPr>
          <w:p w14:paraId="218FDCE7" w14:textId="77777777" w:rsidR="005D0DDC" w:rsidRDefault="005D0DDC" w:rsidP="005D0DDC">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World Bank national accounts data, and OECD National Accounts data files.</w:t>
            </w:r>
          </w:p>
          <w:p w14:paraId="1C150D08" w14:textId="229913FE" w:rsidR="005D0DDC" w:rsidRPr="00176E41" w:rsidRDefault="005D0DDC"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3F51A8DE" w14:textId="77777777" w:rsidR="00D01CED" w:rsidRDefault="00D01CED" w:rsidP="00D01CED"/>
    <w:p w14:paraId="2CF4CA03" w14:textId="5EED6FD4" w:rsidR="00D01CED" w:rsidRDefault="00D01CED" w:rsidP="00D01CED">
      <w:pPr>
        <w:pStyle w:val="Heading1"/>
      </w:pPr>
      <w:r>
        <w:t>GDP Per Capita (Current US$)</w:t>
      </w:r>
    </w:p>
    <w:p w14:paraId="430758C0" w14:textId="0DFE920A" w:rsidR="00D01CED" w:rsidRDefault="00D01CED" w:rsidP="00D01CED">
      <w:r w:rsidRPr="00D01CED">
        <w:rPr>
          <w:rStyle w:val="Strong"/>
        </w:rPr>
        <w:t>GDP Per Capita (Current US$):</w:t>
      </w:r>
      <w:r>
        <w:t xml:space="preserve"> </w:t>
      </w:r>
      <w:hyperlink r:id="rId25" w:history="1">
        <w:r w:rsidRPr="00DE6AB5">
          <w:rPr>
            <w:rStyle w:val="Hyperlink"/>
          </w:rPr>
          <w:t>https://data.worldbank.org/indicator/NY.GDP.PCAP.CD?locations=EG</w:t>
        </w:r>
      </w:hyperlink>
    </w:p>
    <w:p w14:paraId="504D8ED9" w14:textId="218B482F" w:rsidR="00D01CED" w:rsidRDefault="00D01CED" w:rsidP="00D01CED">
      <w:pPr>
        <w:ind w:left="720"/>
      </w:pPr>
      <w:r w:rsidRPr="00D01CED">
        <w:rPr>
          <w:rStyle w:val="Strong"/>
        </w:rPr>
        <w:t>Download Data:</w:t>
      </w:r>
      <w:r>
        <w:t xml:space="preserve"> </w:t>
      </w:r>
      <w:hyperlink r:id="rId26" w:history="1">
        <w:r w:rsidRPr="00DE6AB5">
          <w:rPr>
            <w:rStyle w:val="Hyperlink"/>
          </w:rPr>
          <w:t>https://api.worldbank.org/v2/en/indicator/NY.GDP.PCAP.CD?downloadformat=csv</w:t>
        </w:r>
      </w:hyperlink>
    </w:p>
    <w:p w14:paraId="72BD53BA" w14:textId="77777777" w:rsidR="00D01CED" w:rsidRDefault="00D01CED" w:rsidP="00D01CED">
      <w:pPr>
        <w:ind w:left="630"/>
      </w:pP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D01CED" w14:paraId="6C4A5C00"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6441EB7F" w14:textId="77777777" w:rsidR="00D01CED" w:rsidRDefault="00D01CED" w:rsidP="00432F43">
            <w:pPr>
              <w:rPr>
                <w:rFonts w:ascii="Aptos Narrow" w:hAnsi="Aptos Narrow"/>
                <w:color w:val="000000"/>
              </w:rPr>
            </w:pPr>
          </w:p>
        </w:tc>
        <w:tc>
          <w:tcPr>
            <w:tcW w:w="4074" w:type="dxa"/>
          </w:tcPr>
          <w:p w14:paraId="4FF45AC0" w14:textId="77777777" w:rsidR="00D01CED" w:rsidRDefault="00D01CED"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D01CED" w14:paraId="1DD2E61B"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7BB86D8C" w14:textId="77777777" w:rsidR="00D01CED" w:rsidRPr="00176E41" w:rsidRDefault="00D01CED" w:rsidP="00432F43">
            <w:pPr>
              <w:rPr>
                <w:rFonts w:ascii="Aptos Narrow" w:hAnsi="Aptos Narrow"/>
                <w:color w:val="000000"/>
              </w:rPr>
            </w:pPr>
            <w:r>
              <w:rPr>
                <w:rFonts w:ascii="Aptos Narrow" w:hAnsi="Aptos Narrow"/>
                <w:caps w:val="0"/>
                <w:color w:val="000000"/>
              </w:rPr>
              <w:t>Indicator_Code</w:t>
            </w:r>
          </w:p>
        </w:tc>
        <w:tc>
          <w:tcPr>
            <w:tcW w:w="4074" w:type="dxa"/>
          </w:tcPr>
          <w:p w14:paraId="7BCC7935" w14:textId="77777777" w:rsidR="00D01CED" w:rsidRDefault="00D01CED" w:rsidP="00D01CED">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NY.GDP.PCAP.CD</w:t>
            </w:r>
          </w:p>
          <w:p w14:paraId="214637AF" w14:textId="77777777" w:rsidR="00D01CED" w:rsidRPr="00176E41" w:rsidRDefault="00D01CED"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D01CED" w14:paraId="68AB1CB7"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3ED24FC2" w14:textId="77777777" w:rsidR="00D01CED" w:rsidRPr="00176E41" w:rsidRDefault="00D01CED" w:rsidP="00432F43">
            <w:pPr>
              <w:rPr>
                <w:rFonts w:ascii="Aptos Narrow" w:hAnsi="Aptos Narrow"/>
                <w:color w:val="000000"/>
              </w:rPr>
            </w:pPr>
            <w:r>
              <w:rPr>
                <w:rFonts w:ascii="Aptos Narrow" w:hAnsi="Aptos Narrow"/>
                <w:caps w:val="0"/>
                <w:color w:val="000000"/>
              </w:rPr>
              <w:t>Indicator_Name</w:t>
            </w:r>
          </w:p>
        </w:tc>
        <w:tc>
          <w:tcPr>
            <w:tcW w:w="4074" w:type="dxa"/>
          </w:tcPr>
          <w:p w14:paraId="57168229" w14:textId="77777777" w:rsidR="00D01CED" w:rsidRDefault="00D01CED" w:rsidP="00D01CED">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GDP per capita (current US$)</w:t>
            </w:r>
          </w:p>
          <w:p w14:paraId="398CC695" w14:textId="77777777" w:rsidR="00D01CED" w:rsidRPr="00176E41" w:rsidRDefault="00D01CED"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D01CED" w14:paraId="698F55DB"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0779897A" w14:textId="77777777" w:rsidR="00D01CED" w:rsidRPr="00176E41" w:rsidRDefault="00D01CED" w:rsidP="00432F43">
            <w:pPr>
              <w:rPr>
                <w:rFonts w:ascii="Aptos Narrow" w:hAnsi="Aptos Narrow"/>
                <w:color w:val="000000"/>
              </w:rPr>
            </w:pPr>
            <w:r>
              <w:rPr>
                <w:rFonts w:ascii="Aptos Narrow" w:hAnsi="Aptos Narrow"/>
                <w:caps w:val="0"/>
                <w:color w:val="000000"/>
              </w:rPr>
              <w:t>Source_Note</w:t>
            </w:r>
          </w:p>
        </w:tc>
        <w:tc>
          <w:tcPr>
            <w:tcW w:w="4074" w:type="dxa"/>
          </w:tcPr>
          <w:p w14:paraId="5EFF9DAF" w14:textId="77777777" w:rsidR="00D01CED" w:rsidRDefault="00D01CED" w:rsidP="00D01CED">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w:t>
            </w:r>
          </w:p>
          <w:p w14:paraId="5DC1A978" w14:textId="77777777" w:rsidR="00D01CED" w:rsidRPr="00176E41" w:rsidRDefault="00D01CED"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D01CED" w14:paraId="5619955F"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3ADD96AA" w14:textId="77777777" w:rsidR="00D01CED" w:rsidRDefault="00D01CED" w:rsidP="00432F43">
            <w:pPr>
              <w:rPr>
                <w:rFonts w:ascii="Aptos Narrow" w:hAnsi="Aptos Narrow"/>
                <w:color w:val="000000"/>
              </w:rPr>
            </w:pPr>
            <w:r>
              <w:rPr>
                <w:rFonts w:ascii="Aptos Narrow" w:hAnsi="Aptos Narrow"/>
                <w:caps w:val="0"/>
                <w:color w:val="000000"/>
              </w:rPr>
              <w:t>Source_Organization</w:t>
            </w:r>
          </w:p>
        </w:tc>
        <w:tc>
          <w:tcPr>
            <w:tcW w:w="4074" w:type="dxa"/>
          </w:tcPr>
          <w:p w14:paraId="375248DC" w14:textId="77777777" w:rsidR="00D01CED" w:rsidRDefault="00D01CED" w:rsidP="00D01CED">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World Bank national accounts data, and OECD National Accounts data files.</w:t>
            </w:r>
          </w:p>
          <w:p w14:paraId="6037C1FB" w14:textId="77777777" w:rsidR="00D01CED" w:rsidRPr="00176E41" w:rsidRDefault="00D01CED"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2C968574" w14:textId="77777777" w:rsidR="00D01CED" w:rsidRDefault="00D01CED" w:rsidP="00D01CED">
      <w:pPr>
        <w:ind w:left="720"/>
      </w:pPr>
    </w:p>
    <w:p w14:paraId="39AAD8F1" w14:textId="77777777" w:rsidR="008E6A18" w:rsidRDefault="008E6A18" w:rsidP="008E6A18">
      <w:pPr>
        <w:ind w:left="720"/>
      </w:pPr>
    </w:p>
    <w:p w14:paraId="7C1828CB" w14:textId="77777777" w:rsidR="008E6A18" w:rsidRPr="008F7602" w:rsidRDefault="008E6A18" w:rsidP="005D0DDC"/>
    <w:p w14:paraId="4FD8318D" w14:textId="1137369D" w:rsidR="005D0DDC" w:rsidRDefault="00956983" w:rsidP="00956983">
      <w:pPr>
        <w:pStyle w:val="Heading1"/>
      </w:pPr>
      <w:r>
        <w:t>Unemployment Rate</w:t>
      </w:r>
    </w:p>
    <w:p w14:paraId="682B761F" w14:textId="1472B2BB" w:rsidR="00956983" w:rsidRDefault="00956983" w:rsidP="008F7602">
      <w:r w:rsidRPr="00956983">
        <w:rPr>
          <w:rStyle w:val="Strong"/>
        </w:rPr>
        <w:t xml:space="preserve">Unemployment Rate (% of Total Labor Force): </w:t>
      </w:r>
      <w:hyperlink r:id="rId27" w:history="1">
        <w:r w:rsidRPr="00DE6AB5">
          <w:rPr>
            <w:rStyle w:val="Hyperlink"/>
          </w:rPr>
          <w:t>https://data.worldbank.org/indicator/SL.UEM.TOTL.ZS?locations=EG</w:t>
        </w:r>
      </w:hyperlink>
    </w:p>
    <w:p w14:paraId="7CF3A935" w14:textId="6FBA08E1" w:rsidR="00956983" w:rsidRDefault="00956983" w:rsidP="00956983">
      <w:pPr>
        <w:tabs>
          <w:tab w:val="left" w:pos="360"/>
        </w:tabs>
        <w:ind w:left="720"/>
      </w:pPr>
      <w:r w:rsidRPr="00956983">
        <w:rPr>
          <w:rStyle w:val="Strong"/>
        </w:rPr>
        <w:t xml:space="preserve">Download Data: </w:t>
      </w:r>
      <w:hyperlink r:id="rId28" w:history="1">
        <w:r w:rsidRPr="00DE6AB5">
          <w:rPr>
            <w:rStyle w:val="Hyperlink"/>
          </w:rPr>
          <w:t>https://api.worldbank.org/v2/en/indicator/SL.UEM.TOTL.ZS?downloadformat=csv</w:t>
        </w:r>
      </w:hyperlink>
    </w:p>
    <w:p w14:paraId="04141DD8" w14:textId="77777777" w:rsidR="00956983" w:rsidRDefault="00956983" w:rsidP="00956983">
      <w:pPr>
        <w:ind w:left="630"/>
      </w:pP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956983" w14:paraId="1A54761C"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12C9A92F" w14:textId="77777777" w:rsidR="00956983" w:rsidRDefault="00956983" w:rsidP="00432F43">
            <w:pPr>
              <w:rPr>
                <w:rFonts w:ascii="Aptos Narrow" w:hAnsi="Aptos Narrow"/>
                <w:color w:val="000000"/>
              </w:rPr>
            </w:pPr>
          </w:p>
        </w:tc>
        <w:tc>
          <w:tcPr>
            <w:tcW w:w="4074" w:type="dxa"/>
          </w:tcPr>
          <w:p w14:paraId="5D6C2F03" w14:textId="77777777" w:rsidR="00956983" w:rsidRDefault="00956983"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956983" w14:paraId="0088673B"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3543D8DA" w14:textId="77777777" w:rsidR="00956983" w:rsidRPr="00176E41" w:rsidRDefault="00956983" w:rsidP="00432F43">
            <w:pPr>
              <w:rPr>
                <w:rFonts w:ascii="Aptos Narrow" w:hAnsi="Aptos Narrow"/>
                <w:color w:val="000000"/>
              </w:rPr>
            </w:pPr>
            <w:r>
              <w:rPr>
                <w:rFonts w:ascii="Aptos Narrow" w:hAnsi="Aptos Narrow"/>
                <w:caps w:val="0"/>
                <w:color w:val="000000"/>
              </w:rPr>
              <w:t>Indicator_Code</w:t>
            </w:r>
          </w:p>
        </w:tc>
        <w:tc>
          <w:tcPr>
            <w:tcW w:w="4074" w:type="dxa"/>
          </w:tcPr>
          <w:p w14:paraId="0FFD1B30" w14:textId="77777777" w:rsidR="00956983" w:rsidRDefault="00956983" w:rsidP="0095698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SL.UEM.TOTL.ZS</w:t>
            </w:r>
          </w:p>
          <w:p w14:paraId="4E2BC744" w14:textId="77777777" w:rsidR="00956983" w:rsidRPr="00176E41" w:rsidRDefault="00956983"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956983" w14:paraId="06ECD96A"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0BECE8A7" w14:textId="77777777" w:rsidR="00956983" w:rsidRPr="00176E41" w:rsidRDefault="00956983" w:rsidP="00432F43">
            <w:pPr>
              <w:rPr>
                <w:rFonts w:ascii="Aptos Narrow" w:hAnsi="Aptos Narrow"/>
                <w:color w:val="000000"/>
              </w:rPr>
            </w:pPr>
            <w:r>
              <w:rPr>
                <w:rFonts w:ascii="Aptos Narrow" w:hAnsi="Aptos Narrow"/>
                <w:caps w:val="0"/>
                <w:color w:val="000000"/>
              </w:rPr>
              <w:t>Indicator_Name</w:t>
            </w:r>
          </w:p>
        </w:tc>
        <w:tc>
          <w:tcPr>
            <w:tcW w:w="4074" w:type="dxa"/>
          </w:tcPr>
          <w:p w14:paraId="57356BE5" w14:textId="77777777" w:rsidR="00956983" w:rsidRDefault="00956983" w:rsidP="0095698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Unemployment, total (% of total labor force) (modeled ILO estimate)</w:t>
            </w:r>
          </w:p>
          <w:p w14:paraId="6B967AAB" w14:textId="77777777" w:rsidR="00956983" w:rsidRPr="00176E41" w:rsidRDefault="00956983"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956983" w14:paraId="02304794"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475D66F0" w14:textId="77777777" w:rsidR="00956983" w:rsidRPr="00176E41" w:rsidRDefault="00956983" w:rsidP="00432F43">
            <w:pPr>
              <w:rPr>
                <w:rFonts w:ascii="Aptos Narrow" w:hAnsi="Aptos Narrow"/>
                <w:color w:val="000000"/>
              </w:rPr>
            </w:pPr>
            <w:r>
              <w:rPr>
                <w:rFonts w:ascii="Aptos Narrow" w:hAnsi="Aptos Narrow"/>
                <w:caps w:val="0"/>
                <w:color w:val="000000"/>
              </w:rPr>
              <w:t>Source_Note</w:t>
            </w:r>
          </w:p>
        </w:tc>
        <w:tc>
          <w:tcPr>
            <w:tcW w:w="4074" w:type="dxa"/>
          </w:tcPr>
          <w:p w14:paraId="26F314AE" w14:textId="77777777" w:rsidR="00956983" w:rsidRDefault="00956983" w:rsidP="0095698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Unemployment refers to the share of the labor force that is without work but available for and seeking employment.</w:t>
            </w:r>
          </w:p>
          <w:p w14:paraId="515342A3" w14:textId="77777777" w:rsidR="00956983" w:rsidRPr="00176E41" w:rsidRDefault="00956983"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956983" w14:paraId="10C1B6AE"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11369C82" w14:textId="77777777" w:rsidR="00956983" w:rsidRDefault="00956983" w:rsidP="00432F43">
            <w:pPr>
              <w:rPr>
                <w:rFonts w:ascii="Aptos Narrow" w:hAnsi="Aptos Narrow"/>
                <w:color w:val="000000"/>
              </w:rPr>
            </w:pPr>
            <w:r>
              <w:rPr>
                <w:rFonts w:ascii="Aptos Narrow" w:hAnsi="Aptos Narrow"/>
                <w:caps w:val="0"/>
                <w:color w:val="000000"/>
              </w:rPr>
              <w:t>Source_Organization</w:t>
            </w:r>
          </w:p>
        </w:tc>
        <w:tc>
          <w:tcPr>
            <w:tcW w:w="4074" w:type="dxa"/>
          </w:tcPr>
          <w:p w14:paraId="6CD4B95E" w14:textId="77777777" w:rsidR="00956983" w:rsidRDefault="00956983" w:rsidP="0095698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 xml:space="preserve">International </w:t>
            </w:r>
            <w:proofErr w:type="spellStart"/>
            <w:r>
              <w:rPr>
                <w:rFonts w:ascii="Aptos Narrow" w:hAnsi="Aptos Narrow"/>
                <w:color w:val="000000"/>
              </w:rPr>
              <w:t>Labour</w:t>
            </w:r>
            <w:proofErr w:type="spellEnd"/>
            <w:r>
              <w:rPr>
                <w:rFonts w:ascii="Aptos Narrow" w:hAnsi="Aptos Narrow"/>
                <w:color w:val="000000"/>
              </w:rPr>
              <w:t xml:space="preserve"> Organization. “ILO Modelled Estimates and Projections database (ILOEST)” ILOSTAT. Accessed January 07, 2025. https://ilostat.ilo.org/data/.</w:t>
            </w:r>
          </w:p>
          <w:p w14:paraId="796AC984" w14:textId="77777777" w:rsidR="00956983" w:rsidRPr="00176E41" w:rsidRDefault="00956983"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1FA47B1F" w14:textId="77777777" w:rsidR="00956983" w:rsidRDefault="00956983" w:rsidP="00956983">
      <w:pPr>
        <w:tabs>
          <w:tab w:val="left" w:pos="360"/>
        </w:tabs>
        <w:ind w:left="720"/>
      </w:pPr>
    </w:p>
    <w:p w14:paraId="1A178D28" w14:textId="77777777" w:rsidR="00956983" w:rsidRDefault="00956983" w:rsidP="008F7602"/>
    <w:p w14:paraId="4DF256D6" w14:textId="77777777" w:rsidR="00956983" w:rsidRPr="008F7602" w:rsidRDefault="00956983" w:rsidP="008F7602"/>
    <w:sectPr w:rsidR="00956983" w:rsidRPr="008F7602">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E46E6" w14:textId="77777777" w:rsidR="00502225" w:rsidRDefault="00502225" w:rsidP="008C427A">
      <w:pPr>
        <w:spacing w:after="0" w:line="240" w:lineRule="auto"/>
      </w:pPr>
      <w:r>
        <w:separator/>
      </w:r>
    </w:p>
  </w:endnote>
  <w:endnote w:type="continuationSeparator" w:id="0">
    <w:p w14:paraId="4FB8A936" w14:textId="77777777" w:rsidR="00502225" w:rsidRDefault="00502225" w:rsidP="008C4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172B7" w14:textId="77777777" w:rsidR="00502225" w:rsidRDefault="00502225" w:rsidP="008C427A">
      <w:pPr>
        <w:spacing w:after="0" w:line="240" w:lineRule="auto"/>
      </w:pPr>
      <w:r>
        <w:separator/>
      </w:r>
    </w:p>
  </w:footnote>
  <w:footnote w:type="continuationSeparator" w:id="0">
    <w:p w14:paraId="1E0ED9B0" w14:textId="77777777" w:rsidR="00502225" w:rsidRDefault="00502225" w:rsidP="008C4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DE4AC" w14:textId="1178D4A8" w:rsidR="008C427A" w:rsidRDefault="008C427A">
    <w:pPr>
      <w:pStyle w:val="Header"/>
    </w:pPr>
    <w:r>
      <w:t>Lucko, Dylan</w:t>
    </w:r>
  </w:p>
  <w:p w14:paraId="2FE6DC81" w14:textId="12980066" w:rsidR="008C427A" w:rsidRDefault="008C427A">
    <w:pPr>
      <w:pStyle w:val="Header"/>
    </w:pPr>
    <w:r>
      <w:t>Advances in Remittance Forecasting: Evidence from Egypt</w:t>
    </w:r>
  </w:p>
  <w:p w14:paraId="6FC35FC7" w14:textId="79812C35" w:rsidR="008C427A" w:rsidRDefault="008C427A">
    <w:pPr>
      <w:pStyle w:val="Header"/>
    </w:pPr>
    <w:r>
      <w:t>Spring 2025 Update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27A"/>
    <w:rsid w:val="000232D4"/>
    <w:rsid w:val="00176E41"/>
    <w:rsid w:val="001F3067"/>
    <w:rsid w:val="00375F46"/>
    <w:rsid w:val="004007D9"/>
    <w:rsid w:val="00480553"/>
    <w:rsid w:val="00502225"/>
    <w:rsid w:val="005D0DDC"/>
    <w:rsid w:val="005D74D0"/>
    <w:rsid w:val="008C427A"/>
    <w:rsid w:val="008E6A18"/>
    <w:rsid w:val="008F7602"/>
    <w:rsid w:val="00956983"/>
    <w:rsid w:val="00A81C53"/>
    <w:rsid w:val="00BF47CC"/>
    <w:rsid w:val="00CD5563"/>
    <w:rsid w:val="00D01CED"/>
    <w:rsid w:val="00F10604"/>
    <w:rsid w:val="00F4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CC8C"/>
  <w15:chartTrackingRefBased/>
  <w15:docId w15:val="{E6895BE9-3F91-4B74-AC98-CFCAC6EB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2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42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42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42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42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4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2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42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2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42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42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4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27A"/>
    <w:rPr>
      <w:rFonts w:eastAsiaTheme="majorEastAsia" w:cstheme="majorBidi"/>
      <w:color w:val="272727" w:themeColor="text1" w:themeTint="D8"/>
    </w:rPr>
  </w:style>
  <w:style w:type="paragraph" w:styleId="Title">
    <w:name w:val="Title"/>
    <w:basedOn w:val="Normal"/>
    <w:next w:val="Normal"/>
    <w:link w:val="TitleChar"/>
    <w:uiPriority w:val="10"/>
    <w:qFormat/>
    <w:rsid w:val="008C4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27A"/>
    <w:pPr>
      <w:spacing w:before="160"/>
      <w:jc w:val="center"/>
    </w:pPr>
    <w:rPr>
      <w:i/>
      <w:iCs/>
      <w:color w:val="404040" w:themeColor="text1" w:themeTint="BF"/>
    </w:rPr>
  </w:style>
  <w:style w:type="character" w:customStyle="1" w:styleId="QuoteChar">
    <w:name w:val="Quote Char"/>
    <w:basedOn w:val="DefaultParagraphFont"/>
    <w:link w:val="Quote"/>
    <w:uiPriority w:val="29"/>
    <w:rsid w:val="008C427A"/>
    <w:rPr>
      <w:i/>
      <w:iCs/>
      <w:color w:val="404040" w:themeColor="text1" w:themeTint="BF"/>
    </w:rPr>
  </w:style>
  <w:style w:type="paragraph" w:styleId="ListParagraph">
    <w:name w:val="List Paragraph"/>
    <w:basedOn w:val="Normal"/>
    <w:uiPriority w:val="34"/>
    <w:qFormat/>
    <w:rsid w:val="008C427A"/>
    <w:pPr>
      <w:ind w:left="720"/>
      <w:contextualSpacing/>
    </w:pPr>
  </w:style>
  <w:style w:type="character" w:styleId="IntenseEmphasis">
    <w:name w:val="Intense Emphasis"/>
    <w:basedOn w:val="DefaultParagraphFont"/>
    <w:uiPriority w:val="21"/>
    <w:qFormat/>
    <w:rsid w:val="008C427A"/>
    <w:rPr>
      <w:i/>
      <w:iCs/>
      <w:color w:val="2F5496" w:themeColor="accent1" w:themeShade="BF"/>
    </w:rPr>
  </w:style>
  <w:style w:type="paragraph" w:styleId="IntenseQuote">
    <w:name w:val="Intense Quote"/>
    <w:basedOn w:val="Normal"/>
    <w:next w:val="Normal"/>
    <w:link w:val="IntenseQuoteChar"/>
    <w:uiPriority w:val="30"/>
    <w:qFormat/>
    <w:rsid w:val="008C42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427A"/>
    <w:rPr>
      <w:i/>
      <w:iCs/>
      <w:color w:val="2F5496" w:themeColor="accent1" w:themeShade="BF"/>
    </w:rPr>
  </w:style>
  <w:style w:type="character" w:styleId="IntenseReference">
    <w:name w:val="Intense Reference"/>
    <w:basedOn w:val="DefaultParagraphFont"/>
    <w:uiPriority w:val="32"/>
    <w:qFormat/>
    <w:rsid w:val="008C427A"/>
    <w:rPr>
      <w:b/>
      <w:bCs/>
      <w:smallCaps/>
      <w:color w:val="2F5496" w:themeColor="accent1" w:themeShade="BF"/>
      <w:spacing w:val="5"/>
    </w:rPr>
  </w:style>
  <w:style w:type="paragraph" w:styleId="Header">
    <w:name w:val="header"/>
    <w:basedOn w:val="Normal"/>
    <w:link w:val="HeaderChar"/>
    <w:uiPriority w:val="99"/>
    <w:unhideWhenUsed/>
    <w:rsid w:val="008C4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27A"/>
  </w:style>
  <w:style w:type="paragraph" w:styleId="Footer">
    <w:name w:val="footer"/>
    <w:basedOn w:val="Normal"/>
    <w:link w:val="FooterChar"/>
    <w:uiPriority w:val="99"/>
    <w:unhideWhenUsed/>
    <w:rsid w:val="008C4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27A"/>
  </w:style>
  <w:style w:type="character" w:styleId="Strong">
    <w:name w:val="Strong"/>
    <w:basedOn w:val="DefaultParagraphFont"/>
    <w:uiPriority w:val="22"/>
    <w:qFormat/>
    <w:rsid w:val="008C427A"/>
    <w:rPr>
      <w:b/>
      <w:bCs/>
    </w:rPr>
  </w:style>
  <w:style w:type="character" w:styleId="Hyperlink">
    <w:name w:val="Hyperlink"/>
    <w:basedOn w:val="DefaultParagraphFont"/>
    <w:uiPriority w:val="99"/>
    <w:unhideWhenUsed/>
    <w:rsid w:val="008C427A"/>
    <w:rPr>
      <w:color w:val="0563C1" w:themeColor="hyperlink"/>
      <w:u w:val="single"/>
    </w:rPr>
  </w:style>
  <w:style w:type="character" w:styleId="UnresolvedMention">
    <w:name w:val="Unresolved Mention"/>
    <w:basedOn w:val="DefaultParagraphFont"/>
    <w:uiPriority w:val="99"/>
    <w:semiHidden/>
    <w:unhideWhenUsed/>
    <w:rsid w:val="008C427A"/>
    <w:rPr>
      <w:color w:val="605E5C"/>
      <w:shd w:val="clear" w:color="auto" w:fill="E1DFDD"/>
    </w:rPr>
  </w:style>
  <w:style w:type="table" w:styleId="TableGrid">
    <w:name w:val="Table Grid"/>
    <w:basedOn w:val="TableNormal"/>
    <w:uiPriority w:val="39"/>
    <w:rsid w:val="00176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76E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5D0DD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5D0DD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9523">
      <w:bodyDiv w:val="1"/>
      <w:marLeft w:val="0"/>
      <w:marRight w:val="0"/>
      <w:marTop w:val="0"/>
      <w:marBottom w:val="0"/>
      <w:divBdr>
        <w:top w:val="none" w:sz="0" w:space="0" w:color="auto"/>
        <w:left w:val="none" w:sz="0" w:space="0" w:color="auto"/>
        <w:bottom w:val="none" w:sz="0" w:space="0" w:color="auto"/>
        <w:right w:val="none" w:sz="0" w:space="0" w:color="auto"/>
      </w:divBdr>
    </w:div>
    <w:div w:id="176775523">
      <w:bodyDiv w:val="1"/>
      <w:marLeft w:val="0"/>
      <w:marRight w:val="0"/>
      <w:marTop w:val="0"/>
      <w:marBottom w:val="0"/>
      <w:divBdr>
        <w:top w:val="none" w:sz="0" w:space="0" w:color="auto"/>
        <w:left w:val="none" w:sz="0" w:space="0" w:color="auto"/>
        <w:bottom w:val="none" w:sz="0" w:space="0" w:color="auto"/>
        <w:right w:val="none" w:sz="0" w:space="0" w:color="auto"/>
      </w:divBdr>
    </w:div>
    <w:div w:id="243883080">
      <w:bodyDiv w:val="1"/>
      <w:marLeft w:val="0"/>
      <w:marRight w:val="0"/>
      <w:marTop w:val="0"/>
      <w:marBottom w:val="0"/>
      <w:divBdr>
        <w:top w:val="none" w:sz="0" w:space="0" w:color="auto"/>
        <w:left w:val="none" w:sz="0" w:space="0" w:color="auto"/>
        <w:bottom w:val="none" w:sz="0" w:space="0" w:color="auto"/>
        <w:right w:val="none" w:sz="0" w:space="0" w:color="auto"/>
      </w:divBdr>
    </w:div>
    <w:div w:id="250046213">
      <w:bodyDiv w:val="1"/>
      <w:marLeft w:val="0"/>
      <w:marRight w:val="0"/>
      <w:marTop w:val="0"/>
      <w:marBottom w:val="0"/>
      <w:divBdr>
        <w:top w:val="none" w:sz="0" w:space="0" w:color="auto"/>
        <w:left w:val="none" w:sz="0" w:space="0" w:color="auto"/>
        <w:bottom w:val="none" w:sz="0" w:space="0" w:color="auto"/>
        <w:right w:val="none" w:sz="0" w:space="0" w:color="auto"/>
      </w:divBdr>
    </w:div>
    <w:div w:id="369378868">
      <w:bodyDiv w:val="1"/>
      <w:marLeft w:val="0"/>
      <w:marRight w:val="0"/>
      <w:marTop w:val="0"/>
      <w:marBottom w:val="0"/>
      <w:divBdr>
        <w:top w:val="none" w:sz="0" w:space="0" w:color="auto"/>
        <w:left w:val="none" w:sz="0" w:space="0" w:color="auto"/>
        <w:bottom w:val="none" w:sz="0" w:space="0" w:color="auto"/>
        <w:right w:val="none" w:sz="0" w:space="0" w:color="auto"/>
      </w:divBdr>
    </w:div>
    <w:div w:id="408115921">
      <w:bodyDiv w:val="1"/>
      <w:marLeft w:val="0"/>
      <w:marRight w:val="0"/>
      <w:marTop w:val="0"/>
      <w:marBottom w:val="0"/>
      <w:divBdr>
        <w:top w:val="none" w:sz="0" w:space="0" w:color="auto"/>
        <w:left w:val="none" w:sz="0" w:space="0" w:color="auto"/>
        <w:bottom w:val="none" w:sz="0" w:space="0" w:color="auto"/>
        <w:right w:val="none" w:sz="0" w:space="0" w:color="auto"/>
      </w:divBdr>
    </w:div>
    <w:div w:id="428933138">
      <w:bodyDiv w:val="1"/>
      <w:marLeft w:val="0"/>
      <w:marRight w:val="0"/>
      <w:marTop w:val="0"/>
      <w:marBottom w:val="0"/>
      <w:divBdr>
        <w:top w:val="none" w:sz="0" w:space="0" w:color="auto"/>
        <w:left w:val="none" w:sz="0" w:space="0" w:color="auto"/>
        <w:bottom w:val="none" w:sz="0" w:space="0" w:color="auto"/>
        <w:right w:val="none" w:sz="0" w:space="0" w:color="auto"/>
      </w:divBdr>
    </w:div>
    <w:div w:id="440806408">
      <w:bodyDiv w:val="1"/>
      <w:marLeft w:val="0"/>
      <w:marRight w:val="0"/>
      <w:marTop w:val="0"/>
      <w:marBottom w:val="0"/>
      <w:divBdr>
        <w:top w:val="none" w:sz="0" w:space="0" w:color="auto"/>
        <w:left w:val="none" w:sz="0" w:space="0" w:color="auto"/>
        <w:bottom w:val="none" w:sz="0" w:space="0" w:color="auto"/>
        <w:right w:val="none" w:sz="0" w:space="0" w:color="auto"/>
      </w:divBdr>
    </w:div>
    <w:div w:id="520512056">
      <w:bodyDiv w:val="1"/>
      <w:marLeft w:val="0"/>
      <w:marRight w:val="0"/>
      <w:marTop w:val="0"/>
      <w:marBottom w:val="0"/>
      <w:divBdr>
        <w:top w:val="none" w:sz="0" w:space="0" w:color="auto"/>
        <w:left w:val="none" w:sz="0" w:space="0" w:color="auto"/>
        <w:bottom w:val="none" w:sz="0" w:space="0" w:color="auto"/>
        <w:right w:val="none" w:sz="0" w:space="0" w:color="auto"/>
      </w:divBdr>
    </w:div>
    <w:div w:id="553810488">
      <w:bodyDiv w:val="1"/>
      <w:marLeft w:val="0"/>
      <w:marRight w:val="0"/>
      <w:marTop w:val="0"/>
      <w:marBottom w:val="0"/>
      <w:divBdr>
        <w:top w:val="none" w:sz="0" w:space="0" w:color="auto"/>
        <w:left w:val="none" w:sz="0" w:space="0" w:color="auto"/>
        <w:bottom w:val="none" w:sz="0" w:space="0" w:color="auto"/>
        <w:right w:val="none" w:sz="0" w:space="0" w:color="auto"/>
      </w:divBdr>
    </w:div>
    <w:div w:id="560750549">
      <w:bodyDiv w:val="1"/>
      <w:marLeft w:val="0"/>
      <w:marRight w:val="0"/>
      <w:marTop w:val="0"/>
      <w:marBottom w:val="0"/>
      <w:divBdr>
        <w:top w:val="none" w:sz="0" w:space="0" w:color="auto"/>
        <w:left w:val="none" w:sz="0" w:space="0" w:color="auto"/>
        <w:bottom w:val="none" w:sz="0" w:space="0" w:color="auto"/>
        <w:right w:val="none" w:sz="0" w:space="0" w:color="auto"/>
      </w:divBdr>
    </w:div>
    <w:div w:id="690960973">
      <w:bodyDiv w:val="1"/>
      <w:marLeft w:val="0"/>
      <w:marRight w:val="0"/>
      <w:marTop w:val="0"/>
      <w:marBottom w:val="0"/>
      <w:divBdr>
        <w:top w:val="none" w:sz="0" w:space="0" w:color="auto"/>
        <w:left w:val="none" w:sz="0" w:space="0" w:color="auto"/>
        <w:bottom w:val="none" w:sz="0" w:space="0" w:color="auto"/>
        <w:right w:val="none" w:sz="0" w:space="0" w:color="auto"/>
      </w:divBdr>
    </w:div>
    <w:div w:id="965893559">
      <w:bodyDiv w:val="1"/>
      <w:marLeft w:val="0"/>
      <w:marRight w:val="0"/>
      <w:marTop w:val="0"/>
      <w:marBottom w:val="0"/>
      <w:divBdr>
        <w:top w:val="none" w:sz="0" w:space="0" w:color="auto"/>
        <w:left w:val="none" w:sz="0" w:space="0" w:color="auto"/>
        <w:bottom w:val="none" w:sz="0" w:space="0" w:color="auto"/>
        <w:right w:val="none" w:sz="0" w:space="0" w:color="auto"/>
      </w:divBdr>
    </w:div>
    <w:div w:id="974333576">
      <w:bodyDiv w:val="1"/>
      <w:marLeft w:val="0"/>
      <w:marRight w:val="0"/>
      <w:marTop w:val="0"/>
      <w:marBottom w:val="0"/>
      <w:divBdr>
        <w:top w:val="none" w:sz="0" w:space="0" w:color="auto"/>
        <w:left w:val="none" w:sz="0" w:space="0" w:color="auto"/>
        <w:bottom w:val="none" w:sz="0" w:space="0" w:color="auto"/>
        <w:right w:val="none" w:sz="0" w:space="0" w:color="auto"/>
      </w:divBdr>
    </w:div>
    <w:div w:id="1013725978">
      <w:bodyDiv w:val="1"/>
      <w:marLeft w:val="0"/>
      <w:marRight w:val="0"/>
      <w:marTop w:val="0"/>
      <w:marBottom w:val="0"/>
      <w:divBdr>
        <w:top w:val="none" w:sz="0" w:space="0" w:color="auto"/>
        <w:left w:val="none" w:sz="0" w:space="0" w:color="auto"/>
        <w:bottom w:val="none" w:sz="0" w:space="0" w:color="auto"/>
        <w:right w:val="none" w:sz="0" w:space="0" w:color="auto"/>
      </w:divBdr>
    </w:div>
    <w:div w:id="1087575299">
      <w:bodyDiv w:val="1"/>
      <w:marLeft w:val="0"/>
      <w:marRight w:val="0"/>
      <w:marTop w:val="0"/>
      <w:marBottom w:val="0"/>
      <w:divBdr>
        <w:top w:val="none" w:sz="0" w:space="0" w:color="auto"/>
        <w:left w:val="none" w:sz="0" w:space="0" w:color="auto"/>
        <w:bottom w:val="none" w:sz="0" w:space="0" w:color="auto"/>
        <w:right w:val="none" w:sz="0" w:space="0" w:color="auto"/>
      </w:divBdr>
    </w:div>
    <w:div w:id="1113328345">
      <w:bodyDiv w:val="1"/>
      <w:marLeft w:val="0"/>
      <w:marRight w:val="0"/>
      <w:marTop w:val="0"/>
      <w:marBottom w:val="0"/>
      <w:divBdr>
        <w:top w:val="none" w:sz="0" w:space="0" w:color="auto"/>
        <w:left w:val="none" w:sz="0" w:space="0" w:color="auto"/>
        <w:bottom w:val="none" w:sz="0" w:space="0" w:color="auto"/>
        <w:right w:val="none" w:sz="0" w:space="0" w:color="auto"/>
      </w:divBdr>
    </w:div>
    <w:div w:id="1151019035">
      <w:bodyDiv w:val="1"/>
      <w:marLeft w:val="0"/>
      <w:marRight w:val="0"/>
      <w:marTop w:val="0"/>
      <w:marBottom w:val="0"/>
      <w:divBdr>
        <w:top w:val="none" w:sz="0" w:space="0" w:color="auto"/>
        <w:left w:val="none" w:sz="0" w:space="0" w:color="auto"/>
        <w:bottom w:val="none" w:sz="0" w:space="0" w:color="auto"/>
        <w:right w:val="none" w:sz="0" w:space="0" w:color="auto"/>
      </w:divBdr>
    </w:div>
    <w:div w:id="1234391304">
      <w:bodyDiv w:val="1"/>
      <w:marLeft w:val="0"/>
      <w:marRight w:val="0"/>
      <w:marTop w:val="0"/>
      <w:marBottom w:val="0"/>
      <w:divBdr>
        <w:top w:val="none" w:sz="0" w:space="0" w:color="auto"/>
        <w:left w:val="none" w:sz="0" w:space="0" w:color="auto"/>
        <w:bottom w:val="none" w:sz="0" w:space="0" w:color="auto"/>
        <w:right w:val="none" w:sz="0" w:space="0" w:color="auto"/>
      </w:divBdr>
    </w:div>
    <w:div w:id="1271357945">
      <w:bodyDiv w:val="1"/>
      <w:marLeft w:val="0"/>
      <w:marRight w:val="0"/>
      <w:marTop w:val="0"/>
      <w:marBottom w:val="0"/>
      <w:divBdr>
        <w:top w:val="none" w:sz="0" w:space="0" w:color="auto"/>
        <w:left w:val="none" w:sz="0" w:space="0" w:color="auto"/>
        <w:bottom w:val="none" w:sz="0" w:space="0" w:color="auto"/>
        <w:right w:val="none" w:sz="0" w:space="0" w:color="auto"/>
      </w:divBdr>
    </w:div>
    <w:div w:id="1282952961">
      <w:bodyDiv w:val="1"/>
      <w:marLeft w:val="0"/>
      <w:marRight w:val="0"/>
      <w:marTop w:val="0"/>
      <w:marBottom w:val="0"/>
      <w:divBdr>
        <w:top w:val="none" w:sz="0" w:space="0" w:color="auto"/>
        <w:left w:val="none" w:sz="0" w:space="0" w:color="auto"/>
        <w:bottom w:val="none" w:sz="0" w:space="0" w:color="auto"/>
        <w:right w:val="none" w:sz="0" w:space="0" w:color="auto"/>
      </w:divBdr>
    </w:div>
    <w:div w:id="1350063392">
      <w:bodyDiv w:val="1"/>
      <w:marLeft w:val="0"/>
      <w:marRight w:val="0"/>
      <w:marTop w:val="0"/>
      <w:marBottom w:val="0"/>
      <w:divBdr>
        <w:top w:val="none" w:sz="0" w:space="0" w:color="auto"/>
        <w:left w:val="none" w:sz="0" w:space="0" w:color="auto"/>
        <w:bottom w:val="none" w:sz="0" w:space="0" w:color="auto"/>
        <w:right w:val="none" w:sz="0" w:space="0" w:color="auto"/>
      </w:divBdr>
    </w:div>
    <w:div w:id="1613128779">
      <w:bodyDiv w:val="1"/>
      <w:marLeft w:val="0"/>
      <w:marRight w:val="0"/>
      <w:marTop w:val="0"/>
      <w:marBottom w:val="0"/>
      <w:divBdr>
        <w:top w:val="none" w:sz="0" w:space="0" w:color="auto"/>
        <w:left w:val="none" w:sz="0" w:space="0" w:color="auto"/>
        <w:bottom w:val="none" w:sz="0" w:space="0" w:color="auto"/>
        <w:right w:val="none" w:sz="0" w:space="0" w:color="auto"/>
      </w:divBdr>
    </w:div>
    <w:div w:id="1719667121">
      <w:bodyDiv w:val="1"/>
      <w:marLeft w:val="0"/>
      <w:marRight w:val="0"/>
      <w:marTop w:val="0"/>
      <w:marBottom w:val="0"/>
      <w:divBdr>
        <w:top w:val="none" w:sz="0" w:space="0" w:color="auto"/>
        <w:left w:val="none" w:sz="0" w:space="0" w:color="auto"/>
        <w:bottom w:val="none" w:sz="0" w:space="0" w:color="auto"/>
        <w:right w:val="none" w:sz="0" w:space="0" w:color="auto"/>
      </w:divBdr>
    </w:div>
    <w:div w:id="1734427874">
      <w:bodyDiv w:val="1"/>
      <w:marLeft w:val="0"/>
      <w:marRight w:val="0"/>
      <w:marTop w:val="0"/>
      <w:marBottom w:val="0"/>
      <w:divBdr>
        <w:top w:val="none" w:sz="0" w:space="0" w:color="auto"/>
        <w:left w:val="none" w:sz="0" w:space="0" w:color="auto"/>
        <w:bottom w:val="none" w:sz="0" w:space="0" w:color="auto"/>
        <w:right w:val="none" w:sz="0" w:space="0" w:color="auto"/>
      </w:divBdr>
    </w:div>
    <w:div w:id="1741559122">
      <w:bodyDiv w:val="1"/>
      <w:marLeft w:val="0"/>
      <w:marRight w:val="0"/>
      <w:marTop w:val="0"/>
      <w:marBottom w:val="0"/>
      <w:divBdr>
        <w:top w:val="none" w:sz="0" w:space="0" w:color="auto"/>
        <w:left w:val="none" w:sz="0" w:space="0" w:color="auto"/>
        <w:bottom w:val="none" w:sz="0" w:space="0" w:color="auto"/>
        <w:right w:val="none" w:sz="0" w:space="0" w:color="auto"/>
      </w:divBdr>
    </w:div>
    <w:div w:id="1796480224">
      <w:bodyDiv w:val="1"/>
      <w:marLeft w:val="0"/>
      <w:marRight w:val="0"/>
      <w:marTop w:val="0"/>
      <w:marBottom w:val="0"/>
      <w:divBdr>
        <w:top w:val="none" w:sz="0" w:space="0" w:color="auto"/>
        <w:left w:val="none" w:sz="0" w:space="0" w:color="auto"/>
        <w:bottom w:val="none" w:sz="0" w:space="0" w:color="auto"/>
        <w:right w:val="none" w:sz="0" w:space="0" w:color="auto"/>
      </w:divBdr>
    </w:div>
    <w:div w:id="1831018247">
      <w:bodyDiv w:val="1"/>
      <w:marLeft w:val="0"/>
      <w:marRight w:val="0"/>
      <w:marTop w:val="0"/>
      <w:marBottom w:val="0"/>
      <w:divBdr>
        <w:top w:val="none" w:sz="0" w:space="0" w:color="auto"/>
        <w:left w:val="none" w:sz="0" w:space="0" w:color="auto"/>
        <w:bottom w:val="none" w:sz="0" w:space="0" w:color="auto"/>
        <w:right w:val="none" w:sz="0" w:space="0" w:color="auto"/>
      </w:divBdr>
    </w:div>
    <w:div w:id="1832601552">
      <w:bodyDiv w:val="1"/>
      <w:marLeft w:val="0"/>
      <w:marRight w:val="0"/>
      <w:marTop w:val="0"/>
      <w:marBottom w:val="0"/>
      <w:divBdr>
        <w:top w:val="none" w:sz="0" w:space="0" w:color="auto"/>
        <w:left w:val="none" w:sz="0" w:space="0" w:color="auto"/>
        <w:bottom w:val="none" w:sz="0" w:space="0" w:color="auto"/>
        <w:right w:val="none" w:sz="0" w:space="0" w:color="auto"/>
      </w:divBdr>
    </w:div>
    <w:div w:id="1842888583">
      <w:bodyDiv w:val="1"/>
      <w:marLeft w:val="0"/>
      <w:marRight w:val="0"/>
      <w:marTop w:val="0"/>
      <w:marBottom w:val="0"/>
      <w:divBdr>
        <w:top w:val="none" w:sz="0" w:space="0" w:color="auto"/>
        <w:left w:val="none" w:sz="0" w:space="0" w:color="auto"/>
        <w:bottom w:val="none" w:sz="0" w:space="0" w:color="auto"/>
        <w:right w:val="none" w:sz="0" w:space="0" w:color="auto"/>
      </w:divBdr>
    </w:div>
    <w:div w:id="1865358514">
      <w:bodyDiv w:val="1"/>
      <w:marLeft w:val="0"/>
      <w:marRight w:val="0"/>
      <w:marTop w:val="0"/>
      <w:marBottom w:val="0"/>
      <w:divBdr>
        <w:top w:val="none" w:sz="0" w:space="0" w:color="auto"/>
        <w:left w:val="none" w:sz="0" w:space="0" w:color="auto"/>
        <w:bottom w:val="none" w:sz="0" w:space="0" w:color="auto"/>
        <w:right w:val="none" w:sz="0" w:space="0" w:color="auto"/>
      </w:divBdr>
    </w:div>
    <w:div w:id="1917475214">
      <w:bodyDiv w:val="1"/>
      <w:marLeft w:val="0"/>
      <w:marRight w:val="0"/>
      <w:marTop w:val="0"/>
      <w:marBottom w:val="0"/>
      <w:divBdr>
        <w:top w:val="none" w:sz="0" w:space="0" w:color="auto"/>
        <w:left w:val="none" w:sz="0" w:space="0" w:color="auto"/>
        <w:bottom w:val="none" w:sz="0" w:space="0" w:color="auto"/>
        <w:right w:val="none" w:sz="0" w:space="0" w:color="auto"/>
      </w:divBdr>
    </w:div>
    <w:div w:id="1922596779">
      <w:bodyDiv w:val="1"/>
      <w:marLeft w:val="0"/>
      <w:marRight w:val="0"/>
      <w:marTop w:val="0"/>
      <w:marBottom w:val="0"/>
      <w:divBdr>
        <w:top w:val="none" w:sz="0" w:space="0" w:color="auto"/>
        <w:left w:val="none" w:sz="0" w:space="0" w:color="auto"/>
        <w:bottom w:val="none" w:sz="0" w:space="0" w:color="auto"/>
        <w:right w:val="none" w:sz="0" w:space="0" w:color="auto"/>
      </w:divBdr>
    </w:div>
    <w:div w:id="2005013275">
      <w:bodyDiv w:val="1"/>
      <w:marLeft w:val="0"/>
      <w:marRight w:val="0"/>
      <w:marTop w:val="0"/>
      <w:marBottom w:val="0"/>
      <w:divBdr>
        <w:top w:val="none" w:sz="0" w:space="0" w:color="auto"/>
        <w:left w:val="none" w:sz="0" w:space="0" w:color="auto"/>
        <w:bottom w:val="none" w:sz="0" w:space="0" w:color="auto"/>
        <w:right w:val="none" w:sz="0" w:space="0" w:color="auto"/>
      </w:divBdr>
    </w:div>
    <w:div w:id="2046056030">
      <w:bodyDiv w:val="1"/>
      <w:marLeft w:val="0"/>
      <w:marRight w:val="0"/>
      <w:marTop w:val="0"/>
      <w:marBottom w:val="0"/>
      <w:divBdr>
        <w:top w:val="none" w:sz="0" w:space="0" w:color="auto"/>
        <w:left w:val="none" w:sz="0" w:space="0" w:color="auto"/>
        <w:bottom w:val="none" w:sz="0" w:space="0" w:color="auto"/>
        <w:right w:val="none" w:sz="0" w:space="0" w:color="auto"/>
      </w:divBdr>
    </w:div>
    <w:div w:id="214619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worldbank.org/v2/en/indicator/BX.TRF.PWKR.CD.DT?downloadformat=csv" TargetMode="External"/><Relationship Id="rId13" Type="http://schemas.openxmlformats.org/officeDocument/2006/relationships/hyperlink" Target="https://data.worldbank.org/indicator/FP.CPI.TOTL.ZG?locations=EG" TargetMode="External"/><Relationship Id="rId18" Type="http://schemas.openxmlformats.org/officeDocument/2006/relationships/hyperlink" Target="https://www.un.org/development/desa/pd/sites/www.un.org.development.desa.pd/files/undesa_pd_2024_ims_stock_by_sex_and_origin.xlsx" TargetMode="External"/><Relationship Id="rId26" Type="http://schemas.openxmlformats.org/officeDocument/2006/relationships/hyperlink" Target="https://api.worldbank.org/v2/en/indicator/NY.GDP.PCAP.CD?downloadformat=csv" TargetMode="External"/><Relationship Id="rId3" Type="http://schemas.openxmlformats.org/officeDocument/2006/relationships/settings" Target="settings.xml"/><Relationship Id="rId21" Type="http://schemas.openxmlformats.org/officeDocument/2006/relationships/hyperlink" Target="https://data.worldbank.org/indicator/SM.POP.NETM?locations=EG" TargetMode="External"/><Relationship Id="rId7" Type="http://schemas.openxmlformats.org/officeDocument/2006/relationships/hyperlink" Target="https://data.worldbank.org/indicator/BX.TRF.PWKR.CD.DT?locations=EG" TargetMode="External"/><Relationship Id="rId12" Type="http://schemas.openxmlformats.org/officeDocument/2006/relationships/hyperlink" Target="https://api.worldbank.org/v2/en/indicator/PX.REX.REER?downloadformat=csv" TargetMode="External"/><Relationship Id="rId17" Type="http://schemas.openxmlformats.org/officeDocument/2006/relationships/hyperlink" Target="https://www.un.org/development/desa/pd/sites/www.un.org.development.desa.pd/files/undesa_pd_2024_ims_stock_by_sex_and_destination.xlsx" TargetMode="External"/><Relationship Id="rId25" Type="http://schemas.openxmlformats.org/officeDocument/2006/relationships/hyperlink" Target="https://data.worldbank.org/indicator/NY.GDP.PCAP.CD?locations=EG" TargetMode="External"/><Relationship Id="rId2" Type="http://schemas.openxmlformats.org/officeDocument/2006/relationships/styles" Target="styles.xml"/><Relationship Id="rId16" Type="http://schemas.openxmlformats.org/officeDocument/2006/relationships/hyperlink" Target="https://www.un.org/development/desa/pd/sites/www.un.org.development.desa.pd/files/undesa_pd_2024_ims_stock_by_sex_destination_and_origin.xlsx" TargetMode="External"/><Relationship Id="rId20" Type="http://schemas.openxmlformats.org/officeDocument/2006/relationships/hyperlink" Target="https://www.un.org/development/desa/pd/sites/www.un.org.development.desa.pd/files/undesa_pd_2015_migration_flow_totals.xls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ata.worldbank.org/indicator/PX.REX.REER?locations=EG" TargetMode="External"/><Relationship Id="rId24" Type="http://schemas.openxmlformats.org/officeDocument/2006/relationships/hyperlink" Target="https://api.worldbank.org/v2/en/indicator/NY.GDP.MKTP.CD?downloadformat=csv" TargetMode="External"/><Relationship Id="rId5" Type="http://schemas.openxmlformats.org/officeDocument/2006/relationships/footnotes" Target="footnotes.xml"/><Relationship Id="rId15" Type="http://schemas.openxmlformats.org/officeDocument/2006/relationships/hyperlink" Target="https://www.un.org/development/desa/pd/content/international-migrant-stock" TargetMode="External"/><Relationship Id="rId23" Type="http://schemas.openxmlformats.org/officeDocument/2006/relationships/hyperlink" Target="https://data.worldbank.org/indicator/NY.GDP.MKTP.CD?locations=EG" TargetMode="External"/><Relationship Id="rId28" Type="http://schemas.openxmlformats.org/officeDocument/2006/relationships/hyperlink" Target="https://api.worldbank.org/v2/en/indicator/SL.UEM.TOTL.ZS?downloadformat=csv" TargetMode="External"/><Relationship Id="rId10" Type="http://schemas.openxmlformats.org/officeDocument/2006/relationships/hyperlink" Target="https://api.worldbank.org/v2/en/indicator/BX.TRF.PWKR.DT.GD.ZS?downloadformat=csv" TargetMode="External"/><Relationship Id="rId19" Type="http://schemas.openxmlformats.org/officeDocument/2006/relationships/hyperlink" Target="https://www.un.org/development/desa/pd/data/international-migration-flow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worldbank.org/indicator/BX.TRF.PWKR.DT.GD.ZS?locations=EG" TargetMode="External"/><Relationship Id="rId14" Type="http://schemas.openxmlformats.org/officeDocument/2006/relationships/hyperlink" Target="https://api.worldbank.org/v2/en/indicator/FP.CPI.TOTL.ZG?downloadformat=csv" TargetMode="External"/><Relationship Id="rId22" Type="http://schemas.openxmlformats.org/officeDocument/2006/relationships/hyperlink" Target="https://api.worldbank.org/v2/en/indicator/SM.POP.NETM?downloadformat=csv" TargetMode="External"/><Relationship Id="rId27" Type="http://schemas.openxmlformats.org/officeDocument/2006/relationships/hyperlink" Target="https://data.worldbank.org/indicator/SL.UEM.TOTL.ZS?locations=E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D8A28-A172-483A-BCD7-3FF4AF162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Harvard Business School</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Lucko, Dylan</dc:creator>
  <cp:keywords/>
  <dc:description/>
  <cp:lastModifiedBy>Lucko, Dylan</cp:lastModifiedBy>
  <cp:revision>9</cp:revision>
  <dcterms:created xsi:type="dcterms:W3CDTF">2025-02-23T17:50:00Z</dcterms:created>
  <dcterms:modified xsi:type="dcterms:W3CDTF">2025-02-23T19:21:00Z</dcterms:modified>
</cp:coreProperties>
</file>