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Machine Learning Mini-Projects — Project Report</w:t>
      </w:r>
    </w:p>
    <w:p>
      <w:pPr>
        <w:jc w:val="center"/>
      </w:pPr>
      <w:r>
        <w:rPr>
          <w:i/>
        </w:rPr>
        <w:t>Submitted notebooks: fake_news_detection.ipynb, customer_segmentation.ipynb</w:t>
      </w:r>
    </w:p>
    <w:p/>
    <w:p>
      <w:pPr>
        <w:pStyle w:val="Heading1"/>
      </w:pPr>
      <w:r>
        <w:rPr>
          <w:color w:val="1F3A68"/>
        </w:rPr>
        <w:t>Overview</w:t>
      </w:r>
    </w:p>
    <w:p>
      <w:r>
        <w:rPr>
          <w:b w:val="0"/>
          <w:i w:val="0"/>
        </w:rPr>
        <w:t>Two projects were selected from the assignment list and implemented as fully executed Jupyter notebooks. They cover two complementary branches of machine learning:</w:t>
      </w:r>
    </w:p>
    <w:p>
      <w:pPr>
        <w:pStyle w:val="ListBullet"/>
      </w:pPr>
      <w:r>
        <w:t>Project 1 — Fake News Detection: supervised text classification (NLP).</w:t>
      </w:r>
    </w:p>
    <w:p>
      <w:pPr>
        <w:pStyle w:val="ListBullet"/>
      </w:pPr>
      <w:r>
        <w:t>Project 2 — Customer Segmentation for Advertising: unsupervised clustering.</w:t>
      </w:r>
    </w:p>
    <w:p>
      <w:r>
        <w:rPr>
          <w:b w:val="0"/>
          <w:i w:val="0"/>
        </w:rPr>
        <w:t>Both notebooks are entirely self-contained — the datasets are generated inside the notebook from realistic templates / archetypes, so the notebooks can be re-run anywhere without an internet connection. Each pipeline transfers directly to the corresponding real-world public dataset (Kaggle Fake-and-Real-News and Kaggle Mall Customers, respectively) by replacing only the data-loading cell.</w:t>
      </w:r>
    </w:p>
    <w:p>
      <w:r>
        <w:br w:type="page"/>
      </w:r>
    </w:p>
    <w:p>
      <w:pPr>
        <w:pStyle w:val="Heading1"/>
      </w:pPr>
      <w:r>
        <w:rPr>
          <w:color w:val="1F3A68"/>
        </w:rPr>
        <w:t>Project 1 — Fake News Detection</w:t>
      </w:r>
    </w:p>
    <w:p>
      <w:pPr>
        <w:pStyle w:val="Heading2"/>
      </w:pPr>
      <w:r>
        <w:rPr>
          <w:color w:val="1F3A68"/>
        </w:rPr>
        <w:t>1.1 Dataset</w:t>
      </w:r>
    </w:p>
    <w:p>
      <w:r>
        <w:rPr>
          <w:b w:val="0"/>
          <w:i w:val="0"/>
        </w:rPr>
        <w:t>A balanced corpus of 600 labelled news articles (300 REAL, 300 FAKE) was generated inside the notebook. Each article was sampled from one of two distinct stylistic distributions:</w:t>
      </w:r>
    </w:p>
    <w:p>
      <w:pPr>
        <w:pStyle w:val="ListBullet"/>
      </w:pPr>
      <w:r>
        <w:t>REAL — Reuters / Associated-Press style: a named institutional subject (e.g. "The Federal Reserve", "NASA", "The European Commission"), a neutral reporting verb ("announced", "confirmed", "introduced"), an institutional object (policy, budget, clinical-trial result, …) and a dated attribution.</w:t>
      </w:r>
    </w:p>
    <w:p>
      <w:pPr>
        <w:pStyle w:val="ListBullet"/>
      </w:pPr>
      <w:r>
        <w:t>FAKE — clickbait / conspiracy style: ALL-CAPS shock opener ("SHOCKING:", "BREAKING:"), a vague subject ("the government", "big pharma"), a hidden-agenda verb ("are hiding", "have covered up") and a sensational closer ("Doctors HATE this one trick!!!").</w:t>
      </w:r>
    </w:p>
    <w:p>
      <w:r>
        <w:rPr>
          <w:b w:val="0"/>
          <w:i w:val="0"/>
        </w:rPr>
        <w:t>Why this design? It produces a clean, deterministic dataset where the linguistic signal between the two classes is realistic and learnable — a transparent way to demonstrate the TF-IDF + linear-classifier pipeline that is also used on production-scale fake-news 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samples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Class balance</w:t>
            </w:r>
          </w:p>
        </w:tc>
        <w:tc>
          <w:tcPr>
            <w:tcW w:type="dxa" w:w="4320"/>
          </w:tcPr>
          <w:p>
            <w:r>
              <w:t>300 REAL / 300 FAKE (50 % / 50 %)</w:t>
            </w:r>
          </w:p>
        </w:tc>
      </w:tr>
      <w:tr>
        <w:tc>
          <w:tcPr>
            <w:tcW w:type="dxa" w:w="4320"/>
          </w:tcPr>
          <w:p>
            <w:r>
              <w:t>Train / test split</w:t>
            </w:r>
          </w:p>
        </w:tc>
        <w:tc>
          <w:tcPr>
            <w:tcW w:type="dxa" w:w="4320"/>
          </w:tcPr>
          <w:p>
            <w:r>
              <w:t>480 / 120 (stratified, 80 % / 20 %)</w:t>
            </w:r>
          </w:p>
        </w:tc>
      </w:tr>
      <w:tr>
        <w:tc>
          <w:tcPr>
            <w:tcW w:type="dxa" w:w="4320"/>
          </w:tcPr>
          <w:p>
            <w:r>
              <w:t>Avg. words / REAL</w:t>
            </w:r>
          </w:p>
        </w:tc>
        <w:tc>
          <w:tcPr>
            <w:tcW w:type="dxa" w:w="4320"/>
          </w:tcPr>
          <w:p>
            <w:r>
              <w:t>~25</w:t>
            </w:r>
          </w:p>
        </w:tc>
      </w:tr>
      <w:tr>
        <w:tc>
          <w:tcPr>
            <w:tcW w:type="dxa" w:w="4320"/>
          </w:tcPr>
          <w:p>
            <w:r>
              <w:t>Avg. words / FAKE</w:t>
            </w:r>
          </w:p>
        </w:tc>
        <w:tc>
          <w:tcPr>
            <w:tcW w:type="dxa" w:w="4320"/>
          </w:tcPr>
          <w:p>
            <w:r>
              <w:t>~22</w:t>
            </w:r>
          </w:p>
        </w:tc>
      </w:tr>
    </w:tbl>
    <w:p/>
    <w:p>
      <w:pPr>
        <w:pStyle w:val="Heading2"/>
      </w:pPr>
      <w:r>
        <w:rPr>
          <w:color w:val="1F3A68"/>
        </w:rPr>
        <w:t>1.2 Pre-processing</w:t>
      </w:r>
    </w:p>
    <w:p>
      <w:pPr>
        <w:pStyle w:val="ListBullet"/>
      </w:pPr>
      <w:r>
        <w:t>Lower-case the text.</w:t>
      </w:r>
    </w:p>
    <w:p>
      <w:pPr>
        <w:pStyle w:val="ListBullet"/>
      </w:pPr>
      <w:r>
        <w:t>Strip URLs, HTML tags, punctuation and digits with regular expressions.</w:t>
      </w:r>
    </w:p>
    <w:p>
      <w:pPr>
        <w:pStyle w:val="ListBullet"/>
      </w:pPr>
      <w:r>
        <w:t>Collapse repeated whitespace.</w:t>
      </w:r>
    </w:p>
    <w:p>
      <w:pPr>
        <w:pStyle w:val="ListBullet"/>
      </w:pPr>
      <w:r>
        <w:t>English stop-words removed inside the TfidfVectorizer (max_df = 0.9, min_df = 2).</w:t>
      </w:r>
    </w:p>
    <w:p>
      <w:pPr>
        <w:pStyle w:val="ListBullet"/>
      </w:pPr>
      <w:r>
        <w:t>Features: TF-IDF uni-grams and bi-grams → 924 features.</w:t>
      </w:r>
    </w:p>
    <w:p>
      <w:pPr>
        <w:pStyle w:val="Heading2"/>
      </w:pPr>
      <w:r>
        <w:rPr>
          <w:color w:val="1F3A68"/>
        </w:rPr>
        <w:t>1.3 Models</w:t>
      </w:r>
    </w:p>
    <w:p>
      <w:r>
        <w:rPr>
          <w:b w:val="0"/>
          <w:i w:val="0"/>
        </w:rPr>
        <w:t>Two classical baselines were trained and compared. They are fast to train, easy to interpret, and historically the strongest non-deep-learning baselines for short-text classification:</w:t>
      </w:r>
    </w:p>
    <w:p>
      <w:pPr>
        <w:pStyle w:val="ListBullet"/>
      </w:pPr>
      <w:r>
        <w:t>Multinomial Naive Bayes — generative; assumes feature-independence given the class.</w:t>
      </w:r>
    </w:p>
    <w:p>
      <w:pPr>
        <w:pStyle w:val="ListBullet"/>
      </w:pPr>
      <w:r>
        <w:t>Logistic Regression — discriminative linear model; provides interpretable per-word weights.</w:t>
      </w:r>
    </w:p>
    <w:p>
      <w:pPr>
        <w:pStyle w:val="Heading2"/>
      </w:pPr>
      <w:r>
        <w:rPr>
          <w:color w:val="1F3A68"/>
        </w:rPr>
        <w:t>1.4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Test accuracy</w:t>
            </w:r>
          </w:p>
        </w:tc>
      </w:tr>
      <w:tr>
        <w:tc>
          <w:tcPr>
            <w:tcW w:type="dxa" w:w="4320"/>
          </w:tcPr>
          <w:p>
            <w:r>
              <w:t>Multinomial Naive Bayes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Logistic Regression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</w:tbl>
    <w:p/>
    <w:p>
      <w:r>
        <w:rPr>
          <w:b w:val="0"/>
          <w:i/>
        </w:rPr>
        <w:t>Detailed classification report (best model, Multinomial Naive Bayes):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FAKE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</w:tr>
    </w:tbl>
    <w:p/>
    <w:p>
      <w:r>
        <w:rPr>
          <w:b w:val="0"/>
          <w:i/>
        </w:rPr>
        <w:t>Confusion matrix: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REAL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FAKE</w:t>
            </w:r>
          </w:p>
        </w:tc>
      </w:tr>
      <w:tr>
        <w:tc>
          <w:tcPr>
            <w:tcW w:type="dxa" w:w="2880"/>
          </w:tcPr>
          <w:p>
            <w:r>
              <w:t>Actual REAL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Actual FAKE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p/>
    <w:p>
      <w:r>
        <w:rPr>
          <w:b w:val="0"/>
          <w:i w:val="0"/>
        </w:rPr>
        <w:t>Both models reach perfect accuracy on the held-out test set. This is expected: the two stylistic distributions are very distinct, so the linear decision boundary in TF-IDF space separates them cleanly. On a noisier real-world corpus accuracy typically lands in the 92 – 97 % range with the same pipeline.</w:t>
      </w:r>
    </w:p>
    <w:p>
      <w:r>
        <w:rPr>
          <w:b w:val="0"/>
          <w:i w:val="0"/>
        </w:rPr>
        <w:t>The Logistic-Regression coefficient analysis (see the notebook plot) confirms the model learned the right cues: words like "shocking", "hate", "trick", "banned", "truth" push the prediction strongly toward FAKE, while "announced", "according", "federal", "agency", "bipartisan" push it toward REAL.</w:t>
      </w:r>
    </w:p>
    <w:p>
      <w:pPr>
        <w:pStyle w:val="Heading2"/>
      </w:pPr>
      <w:r>
        <w:rPr>
          <w:color w:val="1F3A68"/>
        </w:rPr>
        <w:t>1.5 Sanity-check predictions</w:t>
      </w:r>
    </w:p>
    <w:p>
      <w:r>
        <w:rPr>
          <w:b w:val="0"/>
          <w:i w:val="0"/>
        </w:rPr>
        <w:t>The trained pipeline was applied to five brand-new headlines: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Prediction</w:t>
            </w:r>
          </w:p>
        </w:tc>
      </w:tr>
      <w:tr>
        <w:tc>
          <w:tcPr>
            <w:tcW w:type="dxa" w:w="4320"/>
          </w:tcPr>
          <w:p>
            <w:r>
              <w:t>The Federal Reserve announced a 25 basis-point rate cut on Wednesday …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SHOCKING: Doctors HATE this one weird trick that cures every disease …</w:t>
            </w:r>
          </w:p>
        </w:tc>
        <w:tc>
          <w:tcPr>
            <w:tcW w:type="dxa" w:w="4320"/>
          </w:tcPr>
          <w:p>
            <w:r>
              <w:t>FAKE</w:t>
            </w:r>
          </w:p>
        </w:tc>
      </w:tr>
      <w:tr>
        <w:tc>
          <w:tcPr>
            <w:tcW w:type="dxa" w:w="4320"/>
          </w:tcPr>
          <w:p>
            <w:r>
              <w:t>NASA confirmed the successful launch of its lunar reconnaissance probe …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  <w:tr>
        <w:tc>
          <w:tcPr>
            <w:tcW w:type="dxa" w:w="4320"/>
          </w:tcPr>
          <w:p>
            <w:r>
              <w:t>BREAKING: The government is hiding aliens in a secret base …</w:t>
            </w:r>
          </w:p>
        </w:tc>
        <w:tc>
          <w:tcPr>
            <w:tcW w:type="dxa" w:w="4320"/>
          </w:tcPr>
          <w:p>
            <w:r>
              <w:t>FAKE</w:t>
            </w:r>
          </w:p>
        </w:tc>
      </w:tr>
      <w:tr>
        <w:tc>
          <w:tcPr>
            <w:tcW w:type="dxa" w:w="4320"/>
          </w:tcPr>
          <w:p>
            <w:r>
              <w:t>The European Commission introduced new guidelines on AI in public services.</w:t>
            </w:r>
          </w:p>
        </w:tc>
        <w:tc>
          <w:tcPr>
            <w:tcW w:type="dxa" w:w="4320"/>
          </w:tcPr>
          <w:p>
            <w:r>
              <w:t>REAL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68"/>
        </w:rPr>
        <w:t>Project 2 — Customer Segmentation for Advertising</w:t>
      </w:r>
    </w:p>
    <w:p>
      <w:pPr>
        <w:pStyle w:val="Heading2"/>
      </w:pPr>
      <w:r>
        <w:rPr>
          <w:color w:val="1F3A68"/>
        </w:rPr>
        <w:t>2.1 Dataset</w:t>
      </w:r>
    </w:p>
    <w:p>
      <w:r>
        <w:rPr>
          <w:b w:val="0"/>
          <w:i w:val="0"/>
        </w:rPr>
        <w:t>A 200-row dataset modelled on the Kaggle Mall Customers dataset was generated as a mixture of five latent customer archetypes plus Gaussian noise. Each archetype contributes 40 customers.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CustomerID</w:t>
            </w:r>
          </w:p>
        </w:tc>
        <w:tc>
          <w:tcPr>
            <w:tcW w:type="dxa" w:w="4320"/>
          </w:tcPr>
          <w:p>
            <w:r>
              <w:t>Unique identifier (1–200)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 / Female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Age in years (18 – 70)</w:t>
            </w:r>
          </w:p>
        </w:tc>
      </w:tr>
      <w:tr>
        <w:tc>
          <w:tcPr>
            <w:tcW w:type="dxa" w:w="4320"/>
          </w:tcPr>
          <w:p>
            <w:r>
              <w:t>Annual Income (k$)</w:t>
            </w:r>
          </w:p>
        </w:tc>
        <w:tc>
          <w:tcPr>
            <w:tcW w:type="dxa" w:w="4320"/>
          </w:tcPr>
          <w:p>
            <w:r>
              <w:t>Annual income, US$ thousands (15 – 140)</w:t>
            </w:r>
          </w:p>
        </w:tc>
      </w:tr>
      <w:tr>
        <w:tc>
          <w:tcPr>
            <w:tcW w:type="dxa" w:w="4320"/>
          </w:tcPr>
          <w:p>
            <w:r>
              <w:t>Spending Score (1-100)</w:t>
            </w:r>
          </w:p>
        </w:tc>
        <w:tc>
          <w:tcPr>
            <w:tcW w:type="dxa" w:w="4320"/>
          </w:tcPr>
          <w:p>
            <w:r>
              <w:t>Mall-assigned spending behaviour score</w:t>
            </w:r>
          </w:p>
        </w:tc>
      </w:tr>
    </w:tbl>
    <w:p/>
    <w:p>
      <w:r>
        <w:rPr>
          <w:b w:val="0"/>
          <w:i w:val="0"/>
        </w:rPr>
        <w:t>Latent archetypes used to generate the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Archetype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income (k$)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spend</w:t>
            </w:r>
          </w:p>
        </w:tc>
      </w:tr>
      <w:tr>
        <w:tc>
          <w:tcPr>
            <w:tcW w:type="dxa" w:w="2160"/>
          </w:tcPr>
          <w:p>
            <w:r>
              <w:t>High-income / High-spend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82</w:t>
            </w:r>
          </w:p>
        </w:tc>
      </w:tr>
      <w:tr>
        <w:tc>
          <w:tcPr>
            <w:tcW w:type="dxa" w:w="2160"/>
          </w:tcPr>
          <w:p>
            <w:r>
              <w:t>High-income / Low-spend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Low-income / High-spend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  <w:tr>
        <w:tc>
          <w:tcPr>
            <w:tcW w:type="dxa" w:w="2160"/>
          </w:tcPr>
          <w:p>
            <w:r>
              <w:t>Low-income / Low-spend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Average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</w:tbl>
    <w:p/>
    <w:p>
      <w:pPr>
        <w:pStyle w:val="Heading2"/>
      </w:pPr>
      <w:r>
        <w:rPr>
          <w:color w:val="1F3A68"/>
        </w:rPr>
        <w:t>2.2 Pre-processing</w:t>
      </w:r>
    </w:p>
    <w:p>
      <w:pPr>
        <w:pStyle w:val="ListBullet"/>
      </w:pPr>
      <w:r>
        <w:t>Selected three numeric features: Age, Annual Income, Spending Score.</w:t>
      </w:r>
    </w:p>
    <w:p>
      <w:pPr>
        <w:pStyle w:val="ListBullet"/>
      </w:pPr>
      <w:r>
        <w:t>Standardised them with StandardScaler so each feature has mean 0 and variance 1.</w:t>
      </w:r>
    </w:p>
    <w:p>
      <w:pPr>
        <w:pStyle w:val="ListBullet"/>
      </w:pPr>
      <w:r>
        <w:t>Standardisation is essential because K-Means uses Euclidean distance.</w:t>
      </w:r>
    </w:p>
    <w:p>
      <w:pPr>
        <w:pStyle w:val="Heading2"/>
      </w:pPr>
      <w:r>
        <w:rPr>
          <w:color w:val="1F3A68"/>
        </w:rPr>
        <w:t>2.3 Choosing the number of clusters</w:t>
      </w:r>
    </w:p>
    <w:p>
      <w:r>
        <w:rPr>
          <w:b w:val="0"/>
          <w:i w:val="0"/>
        </w:rPr>
        <w:t>K was swept from 2 to 10. Two diagnostics were collected for each value:</w:t>
      </w:r>
    </w:p>
    <w:p>
      <w:pPr>
        <w:pStyle w:val="ListBullet"/>
      </w:pPr>
      <w:r>
        <w:t>Inertia (within-cluster sum of squared distances) — used for the elbow plot.</w:t>
      </w:r>
    </w:p>
    <w:p>
      <w:pPr>
        <w:pStyle w:val="ListBullet"/>
      </w:pPr>
      <w:r>
        <w:t>Average silhouette score — measures how well-separated the clusters are.</w:t>
      </w:r>
    </w:p>
    <w:p>
      <w:r>
        <w:rPr>
          <w:b w:val="0"/>
          <w:i w:val="0"/>
        </w:rPr>
        <w:t>The silhouette curve peaks unambiguously at k = 5, with an average silhouette of 0.486 — well above the rule-of-thumb threshold of 0.4 that indicates structurally meaningful clusters. This recovers the five latent archetypes used to generate the data, which is a good sanity check that K-Means is finding real structure rather than over-fitting.</w:t>
      </w:r>
    </w:p>
    <w:p>
      <w:pPr>
        <w:pStyle w:val="Heading2"/>
      </w:pPr>
      <w:r>
        <w:rPr>
          <w:color w:val="1F3A68"/>
        </w:rPr>
        <w:t>2.4 Model</w:t>
      </w:r>
    </w:p>
    <w:p>
      <w:pPr>
        <w:pStyle w:val="ListBullet"/>
      </w:pPr>
      <w:r>
        <w:t>Algorithm: K-Means (scikit-learn), n_clusters = 5, n_init = 10, random_state = 42.</w:t>
      </w:r>
    </w:p>
    <w:p>
      <w:pPr>
        <w:pStyle w:val="ListBullet"/>
      </w:pPr>
      <w:r>
        <w:t>Convergence: &lt; 1 s on standard hardware.</w:t>
      </w:r>
    </w:p>
    <w:p>
      <w:pPr>
        <w:pStyle w:val="ListBullet"/>
      </w:pPr>
      <w:r>
        <w:t>Cluster sizes: 47, 41, 43, 40, 29.</w:t>
      </w:r>
    </w:p>
    <w:p>
      <w:pPr>
        <w:pStyle w:val="Heading2"/>
      </w:pPr>
      <w:r>
        <w:rPr>
          <w:color w:val="1F3A68"/>
        </w:rPr>
        <w:t>2.5 Cluster profiles and advertising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income (k$)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spend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Recommended campaign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Premium loyalists</w:t>
            </w:r>
          </w:p>
        </w:tc>
        <w:tc>
          <w:tcPr>
            <w:tcW w:type="dxa" w:w="1440"/>
          </w:tcPr>
          <w:p>
            <w:r>
              <w:t>27.8</w:t>
            </w:r>
          </w:p>
        </w:tc>
        <w:tc>
          <w:tcPr>
            <w:tcW w:type="dxa" w:w="1440"/>
          </w:tcPr>
          <w:p>
            <w:r>
              <w:t>83.9</w:t>
            </w:r>
          </w:p>
        </w:tc>
        <w:tc>
          <w:tcPr>
            <w:tcW w:type="dxa" w:w="1440"/>
          </w:tcPr>
          <w:p>
            <w:r>
              <w:t>78.4</w:t>
            </w:r>
          </w:p>
        </w:tc>
        <w:tc>
          <w:tcPr>
            <w:tcW w:type="dxa" w:w="1440"/>
          </w:tcPr>
          <w:p>
            <w:r>
              <w:t>Exclusive VIP previews, premium loyalty tier, early access to new collections.</w:t>
            </w:r>
          </w:p>
        </w:tc>
      </w:tr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Aspirational youth</w:t>
            </w:r>
          </w:p>
        </w:tc>
        <w:tc>
          <w:tcPr>
            <w:tcW w:type="dxa" w:w="1440"/>
          </w:tcPr>
          <w:p>
            <w:r>
              <w:t>24.4</w:t>
            </w:r>
          </w:p>
        </w:tc>
        <w:tc>
          <w:tcPr>
            <w:tcW w:type="dxa" w:w="1440"/>
          </w:tcPr>
          <w:p>
            <w:r>
              <w:t>30.6</w:t>
            </w:r>
          </w:p>
        </w:tc>
        <w:tc>
          <w:tcPr>
            <w:tcW w:type="dxa" w:w="1440"/>
          </w:tcPr>
          <w:p>
            <w:r>
              <w:t>72.4</w:t>
            </w:r>
          </w:p>
        </w:tc>
        <w:tc>
          <w:tcPr>
            <w:tcW w:type="dxa" w:w="1440"/>
          </w:tcPr>
          <w:p>
            <w:r>
              <w:t>Trend-driven social ads, bundles, BNPL financing, influencer partnerships.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Mainstream regulars</w:t>
            </w:r>
          </w:p>
        </w:tc>
        <w:tc>
          <w:tcPr>
            <w:tcW w:type="dxa" w:w="1440"/>
          </w:tcPr>
          <w:p>
            <w:r>
              <w:t>38.0</w:t>
            </w:r>
          </w:p>
        </w:tc>
        <w:tc>
          <w:tcPr>
            <w:tcW w:type="dxa" w:w="1440"/>
          </w:tcPr>
          <w:p>
            <w:r>
              <w:t>55.1</w:t>
            </w:r>
          </w:p>
        </w:tc>
        <w:tc>
          <w:tcPr>
            <w:tcW w:type="dxa" w:w="1440"/>
          </w:tcPr>
          <w:p>
            <w:r>
              <w:t>50.2</w:t>
            </w:r>
          </w:p>
        </w:tc>
        <w:tc>
          <w:tcPr>
            <w:tcW w:type="dxa" w:w="1440"/>
          </w:tcPr>
          <w:p>
            <w:r>
              <w:t>Broad seasonal campaigns, general loyalty rewards, mid-tier cross-sell.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Cautious affluents</w:t>
            </w:r>
          </w:p>
        </w:tc>
        <w:tc>
          <w:tcPr>
            <w:tcW w:type="dxa" w:w="1440"/>
          </w:tcPr>
          <w:p>
            <w:r>
              <w:t>44.7</w:t>
            </w:r>
          </w:p>
        </w:tc>
        <w:tc>
          <w:tcPr>
            <w:tcW w:type="dxa" w:w="1440"/>
          </w:tcPr>
          <w:p>
            <w:r>
              <w:t>89.4</w:t>
            </w:r>
          </w:p>
        </w:tc>
        <w:tc>
          <w:tcPr>
            <w:tcW w:type="dxa" w:w="1440"/>
          </w:tcPr>
          <w:p>
            <w:r>
              <w:t>18.7</w:t>
            </w:r>
          </w:p>
        </w:tc>
        <w:tc>
          <w:tcPr>
            <w:tcW w:type="dxa" w:w="1440"/>
          </w:tcPr>
          <w:p>
            <w:r>
              <w:t>Quality-focused messaging, durability and warranty highlights, premium-but-rational tone.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Budget-conscious</w:t>
            </w:r>
          </w:p>
        </w:tc>
        <w:tc>
          <w:tcPr>
            <w:tcW w:type="dxa" w:w="1440"/>
          </w:tcPr>
          <w:p>
            <w:r>
              <w:t>49.3</w:t>
            </w:r>
          </w:p>
        </w:tc>
        <w:tc>
          <w:tcPr>
            <w:tcW w:type="dxa" w:w="1440"/>
          </w:tcPr>
          <w:p>
            <w:r>
              <w:t>26.9</w:t>
            </w:r>
          </w:p>
        </w:tc>
        <w:tc>
          <w:tcPr>
            <w:tcW w:type="dxa" w:w="1440"/>
          </w:tcPr>
          <w:p>
            <w:r>
              <w:t>20.1</w:t>
            </w:r>
          </w:p>
        </w:tc>
        <w:tc>
          <w:tcPr>
            <w:tcW w:type="dxa" w:w="1440"/>
          </w:tcPr>
          <w:p>
            <w:r>
              <w:t>Discount-led campaigns, coupon mailers, loyalty points for repeat low-ticket purchases.</w:t>
            </w:r>
          </w:p>
        </w:tc>
      </w:tr>
    </w:tbl>
    <w:p/>
    <w:p>
      <w:r>
        <w:rPr>
          <w:b w:val="0"/>
          <w:i w:val="0"/>
        </w:rPr>
        <w:t>Note: the exact cluster sizes and centroid values shown above come from the executed notebook; small variations may appear if the random seed is changed.</w:t>
      </w:r>
    </w:p>
    <w:p>
      <w:pPr>
        <w:pStyle w:val="Heading2"/>
      </w:pPr>
      <w:r>
        <w:rPr>
          <w:color w:val="1F3A68"/>
        </w:rPr>
        <w:t>2.6 Predicting the segment for a new customer</w:t>
      </w:r>
    </w:p>
    <w:p>
      <w:r>
        <w:rPr>
          <w:b w:val="0"/>
          <w:i w:val="0"/>
        </w:rPr>
        <w:t>The fitted pipeline (StandardScaler → K-Means) was applied to five fresh customers: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Income (k$)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Predicted persona</w:t>
            </w:r>
          </w:p>
        </w:tc>
      </w:tr>
      <w:tr>
        <w:tc>
          <w:tcPr>
            <w:tcW w:type="dxa" w:w="1728"/>
          </w:tcPr>
          <w:p>
            <w:r>
              <w:t>Alice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Premium loyalists</w:t>
            </w:r>
          </w:p>
        </w:tc>
      </w:tr>
      <w:tr>
        <w:tc>
          <w:tcPr>
            <w:tcW w:type="dxa" w:w="1728"/>
          </w:tcPr>
          <w:p>
            <w:r>
              <w:t>Bob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Cautious affluents</w:t>
            </w:r>
          </w:p>
        </w:tc>
      </w:tr>
      <w:tr>
        <w:tc>
          <w:tcPr>
            <w:tcW w:type="dxa" w:w="1728"/>
          </w:tcPr>
          <w:p>
            <w:r>
              <w:t>Chen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Aspirational youth</w:t>
            </w:r>
          </w:p>
        </w:tc>
      </w:tr>
      <w:tr>
        <w:tc>
          <w:tcPr>
            <w:tcW w:type="dxa" w:w="1728"/>
          </w:tcPr>
          <w:p>
            <w:r>
              <w:t>Dimitri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Budget-conscious</w:t>
            </w:r>
          </w:p>
        </w:tc>
      </w:tr>
      <w:tr>
        <w:tc>
          <w:tcPr>
            <w:tcW w:type="dxa" w:w="1728"/>
          </w:tcPr>
          <w:p>
            <w:r>
              <w:t>Erin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Mainstream regulars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68"/>
        </w:rPr>
        <w:t>Summary and possible extensions</w:t>
      </w:r>
    </w:p>
    <w:p>
      <w:pPr>
        <w:pStyle w:val="Heading2"/>
      </w:pPr>
      <w:r>
        <w:rPr>
          <w:color w:val="1F3A68"/>
        </w:rPr>
        <w:t>Files submitted</w:t>
      </w:r>
    </w:p>
    <w:p>
      <w:pPr>
        <w:pStyle w:val="ListBullet"/>
      </w:pPr>
      <w:r>
        <w:t>fake_news_detection.ipynb — Project 1, with all cells executed and outputs embedded.</w:t>
      </w:r>
    </w:p>
    <w:p>
      <w:pPr>
        <w:pStyle w:val="ListBullet"/>
      </w:pPr>
      <w:r>
        <w:t>customer_segmentation.ipynb — Project 2, with all cells executed and outputs embedded.</w:t>
      </w:r>
    </w:p>
    <w:p>
      <w:pPr>
        <w:pStyle w:val="ListBullet"/>
      </w:pPr>
      <w:r>
        <w:t>Project_Report.docx — this document.</w:t>
      </w:r>
    </w:p>
    <w:p>
      <w:pPr>
        <w:pStyle w:val="Heading2"/>
      </w:pPr>
      <w:r>
        <w:rPr>
          <w:color w:val="1F3A68"/>
        </w:rPr>
        <w:t>Possible extensions</w:t>
      </w:r>
    </w:p>
    <w:p>
      <w:pPr>
        <w:pStyle w:val="ListBullet"/>
      </w:pPr>
      <w:r>
        <w:t>Project 1: character n-grams; word embeddings; fine-tuning a small transformer (e.g. DistilBERT); adversarial evaluation against paraphrased fake-news inputs.</w:t>
      </w:r>
    </w:p>
    <w:p>
      <w:pPr>
        <w:pStyle w:val="ListBullet"/>
      </w:pPr>
      <w:r>
        <w:t>Project 2: include Gender via one-hot encoding; try DBSCAN / Gaussian Mixture Models; monitor cluster drift over time; feed the cluster id as a feature into a downstream uplift / response model.</w:t>
      </w:r>
    </w:p>
    <w:p>
      <w:pPr>
        <w:pStyle w:val="Heading2"/>
      </w:pPr>
      <w:r>
        <w:rPr>
          <w:color w:val="1F3A68"/>
        </w:rPr>
        <w:t>Reproducibility</w:t>
      </w:r>
    </w:p>
    <w:p>
      <w:r>
        <w:rPr>
          <w:b w:val="0"/>
          <w:i w:val="0"/>
        </w:rPr>
        <w:t>Both notebooks fix random_state = 42, use a known seeded data-generation routine, and depend only on numpy, pandas, scikit-learn, matplotlib and seaborn. Re-running the notebooks top-to-bottom reproduces every plot and metric in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