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4E2A84"/>
          <w:sz w:val="30"/>
          <w:szCs w:val="30"/>
        </w:rPr>
        <w:t xml:space="preserve">RESEARCH PROGRESS MEMO</w:t>
      </w:r>
    </w:p>
    <w:p>
      <w:pPr>
        <w:pBdr>
          <w:bottom w:val="single" w:color="4E2A84" w:sz="8" w:space="4"/>
        </w:pBdr>
        <w:spacing w:after="100"/>
      </w:pPr>
      <w:r>
        <w:rPr>
          <w:rFonts w:ascii="Calibri" w:cs="Calibri" w:eastAsia="Calibri" w:hAnsi="Calibri"/>
          <w:i/>
          <w:iCs/>
          <w:color w:val="595959"/>
          <w:sz w:val="20"/>
          <w:szCs w:val="20"/>
        </w:rPr>
        <w:t xml:space="preserve">Calibrating the Crowd: Assessing Prediction Market Accuracy Through Sports Betting Markets</w:t>
      </w:r>
    </w:p>
    <w:p>
      <w:pPr>
        <w:spacing w:after="60" w:line="234" w:lineRule="auto"/>
      </w:pPr>
      <w:r>
        <w:rPr>
          <w:rFonts w:ascii="Calibri" w:cs="Calibri" w:eastAsia="Calibri" w:hAnsi="Calibri"/>
          <w:b/>
          <w:bCs/>
          <w:sz w:val="19"/>
          <w:szCs w:val="19"/>
        </w:rPr>
        <w:t xml:space="preserve">To: </w:t>
      </w:r>
      <w:r>
        <w:rPr>
          <w:rFonts w:ascii="Calibri" w:cs="Calibri" w:eastAsia="Calibri" w:hAnsi="Calibri"/>
          <w:sz w:val="19"/>
          <w:szCs w:val="19"/>
        </w:rPr>
        <w:t xml:space="preserve">Professor Arend Kuyper      </w:t>
      </w:r>
      <w:r>
        <w:rPr>
          <w:rFonts w:ascii="Calibri" w:cs="Calibri" w:eastAsia="Calibri" w:hAnsi="Calibri"/>
          <w:b/>
          <w:bCs/>
          <w:sz w:val="19"/>
          <w:szCs w:val="19"/>
        </w:rPr>
        <w:t xml:space="preserve">From: </w:t>
      </w:r>
      <w:r>
        <w:rPr>
          <w:rFonts w:ascii="Calibri" w:cs="Calibri" w:eastAsia="Calibri" w:hAnsi="Calibri"/>
          <w:sz w:val="19"/>
          <w:szCs w:val="19"/>
        </w:rPr>
        <w:t xml:space="preserve">Dylan Ryan      </w:t>
      </w:r>
      <w:r>
        <w:rPr>
          <w:rFonts w:ascii="Calibri" w:cs="Calibri" w:eastAsia="Calibri" w:hAnsi="Calibri"/>
          <w:b/>
          <w:bCs/>
          <w:sz w:val="19"/>
          <w:szCs w:val="19"/>
        </w:rPr>
        <w:t xml:space="preserve">Date: </w:t>
      </w:r>
      <w:r>
        <w:rPr>
          <w:rFonts w:ascii="Calibri" w:cs="Calibri" w:eastAsia="Calibri" w:hAnsi="Calibri"/>
          <w:sz w:val="19"/>
          <w:szCs w:val="19"/>
        </w:rPr>
        <w:t xml:space="preserve">July 31, 2026      </w:t>
      </w:r>
      <w:r>
        <w:rPr>
          <w:rFonts w:ascii="Calibri" w:cs="Calibri" w:eastAsia="Calibri" w:hAnsi="Calibri"/>
          <w:b/>
          <w:bCs/>
          <w:sz w:val="19"/>
          <w:szCs w:val="19"/>
        </w:rPr>
        <w:t xml:space="preserve">Re: </w:t>
      </w:r>
      <w:r>
        <w:rPr>
          <w:rFonts w:ascii="Calibri" w:cs="Calibri" w:eastAsia="Calibri" w:hAnsi="Calibri"/>
          <w:sz w:val="19"/>
          <w:szCs w:val="19"/>
        </w:rPr>
        <w:t xml:space="preserve">Progress to date, start to finish (weeks 1–5 of 8)</w:t>
      </w:r>
    </w:p>
    <w:p>
      <w:pPr>
        <w:spacing w:after="60" w:line="234" w:lineRule="auto"/>
      </w:pPr>
      <w:r>
        <w:rPr>
          <w:rFonts w:ascii="Calibri" w:cs="Calibri" w:eastAsia="Calibri" w:hAnsi="Calibri"/>
          <w:sz w:val="19"/>
          <w:szCs w:val="19"/>
        </w:rPr>
        <w:t xml:space="preserve">The proposal asked whether sports prediction markets are calibrated forecasting tools or just another way to gamble. Five weeks in, the measurement phase is finished and the answer is the strong version: Kalshi, Polymarket, the sportsbook consensus — and, since this week, Polymarket’s separately regulated US entity — produce </w:t>
      </w:r>
      <w:r>
        <w:rPr>
          <w:rFonts w:ascii="Calibri" w:cs="Calibri" w:eastAsia="Calibri" w:hAnsi="Calibri"/>
          <w:i/>
          <w:iCs/>
          <w:sz w:val="19"/>
          <w:szCs w:val="19"/>
        </w:rPr>
        <w:t xml:space="preserve">formally equivalent</w:t>
      </w:r>
      <w:r>
        <w:rPr>
          <w:rFonts w:ascii="Calibri" w:cs="Calibri" w:eastAsia="Calibri" w:hAnsi="Calibri"/>
          <w:sz w:val="19"/>
          <w:szCs w:val="19"/>
        </w:rPr>
        <w:t xml:space="preserve"> forecasts on the same games, differing mainly in what they charge (~1% vs ~4.2%). Below is how the project got there, roughly in order; issues and decisions appear where they actually happened.</w:t>
      </w:r>
    </w:p>
    <w:p>
      <w:pPr>
        <w:pBdr>
          <w:bottom w:val="single" w:color="D9D2E9" w:sz="4" w:space="2"/>
        </w:pBdr>
        <w:spacing w:after="60" w:before="150"/>
      </w:pPr>
      <w:r>
        <w:rPr>
          <w:rFonts w:ascii="Calibri" w:cs="Calibri" w:eastAsia="Calibri" w:hAnsi="Calibri"/>
          <w:b/>
          <w:bCs/>
          <w:color w:val="4E2A84"/>
          <w:sz w:val="21"/>
          <w:szCs w:val="21"/>
        </w:rPr>
        <w:t xml:space="preserve">Weeks 1–2</w:t>
      </w:r>
      <w:r>
        <w:rPr>
          <w:rFonts w:ascii="Calibri" w:cs="Calibri" w:eastAsia="Calibri" w:hAnsi="Calibri"/>
          <w:i/>
          <w:iCs/>
          <w:color w:val="595959"/>
          <w:sz w:val="19"/>
          <w:szCs w:val="19"/>
        </w:rPr>
        <w:t xml:space="preserve">   late June – Jul 10 · pipelines, the headline result, and the project’s hardest lesson</w:t>
      </w:r>
    </w:p>
    <w:p>
      <w:pPr>
        <w:pStyle w:val="ListParagraph"/>
        <w:numPr>
          <w:ilvl w:val="0"/>
          <w:numId w:val="2"/>
        </w:numPr>
        <w:spacing w:after="30" w:line="234" w:lineRule="auto"/>
      </w:pPr>
      <w:r>
        <w:rPr>
          <w:rFonts w:ascii="Calibri" w:cs="Calibri" w:eastAsia="Calibri" w:hAnsi="Calibri"/>
          <w:sz w:val="19"/>
          <w:szCs w:val="19"/>
        </w:rPr>
        <w:t xml:space="preserve">Built the full collection pipeline: ESPN game registry (9,482 games, 7 leagues), Kalshi closing prices (9,186 games — order-book mids, plus trade reconstruction for anything past Kalshi’s ~60-day retention), Polymarket CLOB prices (5,563), and a de-vigged consensus of ~10.5 sportsbooks per game (5,151). Started the live 15-min VPS snapshot collector on day one, since lead–lag data is perishable and unrecoverable later.</w:t>
      </w:r>
    </w:p>
    <w:p>
      <w:pPr>
        <w:pStyle w:val="ListParagraph"/>
        <w:numPr>
          <w:ilvl w:val="0"/>
          <w:numId w:val="2"/>
        </w:numPr>
        <w:spacing w:after="30" w:line="234" w:lineRule="auto"/>
      </w:pPr>
      <w:r>
        <w:rPr>
          <w:rFonts w:ascii="Calibri" w:cs="Calibri" w:eastAsia="Calibri" w:hAnsi="Calibri"/>
          <w:sz w:val="19"/>
          <w:szCs w:val="19"/>
        </w:rPr>
        <w:t xml:space="preserve">First three-way calibration came back a dead heat: equal Briers, no favorite–longshot bias, all sources well-calibrated across the full 0–1 range.</w:t>
      </w:r>
    </w:p>
    <w:p>
      <w:pPr>
        <w:pStyle w:val="ListParagraph"/>
        <w:numPr>
          <w:ilvl w:val="0"/>
          <w:numId w:val="2"/>
        </w:numPr>
        <w:spacing w:after="30" w:line="234" w:lineRule="auto"/>
      </w:pPr>
      <w:r>
        <w:rPr>
          <w:rFonts w:ascii="Calibri" w:cs="Calibri" w:eastAsia="Calibri" w:hAnsi="Calibri"/>
          <w:b/>
          <w:bCs/>
          <w:sz w:val="19"/>
          <w:szCs w:val="19"/>
        </w:rPr>
        <w:t xml:space="preserve">Issue → method. </w:t>
      </w:r>
      <w:r>
        <w:rPr>
          <w:rFonts w:ascii="Calibri" w:cs="Calibri" w:eastAsia="Calibri" w:hAnsi="Calibri"/>
          <w:sz w:val="19"/>
          <w:szCs w:val="19"/>
        </w:rPr>
        <w:t xml:space="preserve">A profitability backtest surfaced “impossible” profits (a 9¢ ask on a 91% favorite). The market was right; my pipeline had mis-assigned sides in ~350 games via team-code alias collisions. Fix: side assignment by the Kalshi ticker-order rule, validated 99.6% against ESPN. The contaminated data had shown “Kalshi significantly lags the books” (p=0.004); the clean data shows equivalence. Lesson adopted project-wide: an impossible backtest profit is a data-quality alarm.</w:t>
      </w:r>
    </w:p>
    <w:p>
      <w:pPr>
        <w:pStyle w:val="ListParagraph"/>
        <w:numPr>
          <w:ilvl w:val="0"/>
          <w:numId w:val="2"/>
        </w:numPr>
        <w:spacing w:after="30" w:line="234" w:lineRule="auto"/>
      </w:pPr>
      <w:r>
        <w:rPr>
          <w:rFonts w:ascii="Calibri" w:cs="Calibri" w:eastAsia="Calibri" w:hAnsi="Calibri"/>
          <w:sz w:val="19"/>
          <w:szCs w:val="19"/>
        </w:rPr>
        <w:t xml:space="preserve">Validated the trade-reconstruction pricing externally against OddPool’s archived order books (99% within 1pt) and wrote the roadmap mapping the remaining six weeks against the proposal.</w:t>
      </w:r>
    </w:p>
    <w:p>
      <w:pPr>
        <w:pBdr>
          <w:bottom w:val="single" w:color="D9D2E9" w:sz="4" w:space="2"/>
        </w:pBdr>
        <w:spacing w:after="60" w:before="150"/>
      </w:pPr>
      <w:r>
        <w:rPr>
          <w:rFonts w:ascii="Calibri" w:cs="Calibri" w:eastAsia="Calibri" w:hAnsi="Calibri"/>
          <w:b/>
          <w:bCs/>
          <w:color w:val="4E2A84"/>
          <w:sz w:val="21"/>
          <w:szCs w:val="21"/>
        </w:rPr>
        <w:t xml:space="preserve">Week 3</w:t>
      </w:r>
      <w:r>
        <w:rPr>
          <w:rFonts w:ascii="Calibri" w:cs="Calibri" w:eastAsia="Calibri" w:hAnsi="Calibri"/>
          <w:i/>
          <w:iCs/>
          <w:color w:val="595959"/>
          <w:sz w:val="19"/>
          <w:szCs w:val="19"/>
        </w:rPr>
        <w:t xml:space="preserve">   Jul 10–20 · the deep-dive batch: mechanisms, robustness, costs</w:t>
      </w:r>
    </w:p>
    <w:p>
      <w:pPr>
        <w:pStyle w:val="ListParagraph"/>
        <w:numPr>
          <w:ilvl w:val="0"/>
          <w:numId w:val="2"/>
        </w:numPr>
        <w:spacing w:after="30" w:line="234" w:lineRule="auto"/>
      </w:pPr>
      <w:r>
        <w:rPr>
          <w:rFonts w:ascii="Calibri" w:cs="Calibri" w:eastAsia="Calibri" w:hAnsi="Calibri"/>
          <w:sz w:val="19"/>
          <w:szCs w:val="19"/>
        </w:rPr>
        <w:t xml:space="preserve">Distributional layer: 28,940 Kalshi alternate-spread contracts — ladders 97.3% monotone, executable arbitrage ~0.1%. Found the project’s one clean crack: Kalshi under-prices small MLB margins by +8.4pts in a cell the books (107,100 alternate-line points) price to +0.4. Traced ~24% of it to extra-innings walk-off compression — and showed it’s unexploitable (selling the rich side loses 2.9–4.5% net of fees). Decision: frame such biases as “harbored inside transaction-cost bands, the way books harbor biases inside the vig.”</w:t>
      </w:r>
    </w:p>
    <w:p>
      <w:pPr>
        <w:pStyle w:val="ListParagraph"/>
        <w:numPr>
          <w:ilvl w:val="0"/>
          <w:numId w:val="2"/>
        </w:numPr>
        <w:spacing w:after="30" w:line="234" w:lineRule="auto"/>
      </w:pPr>
      <w:r>
        <w:rPr>
          <w:rFonts w:ascii="Calibri" w:cs="Calibri" w:eastAsia="Calibri" w:hAnsi="Calibri"/>
          <w:sz w:val="19"/>
          <w:szCs w:val="19"/>
        </w:rPr>
        <w:t xml:space="preserve">Mechanism results: markets beat nothing by luck — taker flow carries no information at any trade size (710K fills), so price discovery is maker-driven; the day’s line move predicts nothing beyond the close (closes are efficient); a fee natural experiment (Polymarket’s 2026-03-30 sports fee) left accuracy untouched (DiD p=0.74).</w:t>
      </w:r>
    </w:p>
    <w:p>
      <w:pPr>
        <w:pStyle w:val="ListParagraph"/>
        <w:numPr>
          <w:ilvl w:val="0"/>
          <w:numId w:val="2"/>
        </w:numPr>
        <w:spacing w:after="30" w:line="234" w:lineRule="auto"/>
      </w:pPr>
      <w:r>
        <w:rPr>
          <w:rFonts w:ascii="Calibri" w:cs="Calibri" w:eastAsia="Calibri" w:hAnsi="Calibri"/>
          <w:sz w:val="19"/>
          <w:szCs w:val="19"/>
        </w:rPr>
        <w:t xml:space="preserve">Opened the horizon program: collected T−24h book consensus (3,461 games) and 7-horizon price paths — books hold a small real lead a day out, the gap closes by game start. Robustness battery (log score, stacking, binning, selection, de-vig variants) and BH-FDR control over all positive claims added the same week.</w:t>
      </w:r>
    </w:p>
    <w:p>
      <w:pPr>
        <w:pBdr>
          <w:bottom w:val="single" w:color="D9D2E9" w:sz="4" w:space="2"/>
        </w:pBdr>
        <w:spacing w:after="60" w:before="150"/>
      </w:pPr>
      <w:r>
        <w:rPr>
          <w:rFonts w:ascii="Calibri" w:cs="Calibri" w:eastAsia="Calibri" w:hAnsi="Calibri"/>
          <w:b/>
          <w:bCs/>
          <w:color w:val="4E2A84"/>
          <w:sz w:val="21"/>
          <w:szCs w:val="21"/>
        </w:rPr>
        <w:t xml:space="preserve">Week 4</w:t>
      </w:r>
      <w:r>
        <w:rPr>
          <w:rFonts w:ascii="Calibri" w:cs="Calibri" w:eastAsia="Calibri" w:hAnsi="Calibri"/>
          <w:i/>
          <w:iCs/>
          <w:color w:val="595959"/>
          <w:sz w:val="19"/>
          <w:szCs w:val="19"/>
        </w:rPr>
        <w:t xml:space="preserve">   Jul 21–26 · consolidation, unplanned extensions, and your checkpoint</w:t>
      </w:r>
    </w:p>
    <w:p>
      <w:pPr>
        <w:pStyle w:val="ListParagraph"/>
        <w:numPr>
          <w:ilvl w:val="0"/>
          <w:numId w:val="2"/>
        </w:numPr>
        <w:spacing w:after="30" w:line="234" w:lineRule="auto"/>
      </w:pPr>
      <w:r>
        <w:rPr>
          <w:rFonts w:ascii="Calibri" w:cs="Calibri" w:eastAsia="Calibri" w:hAnsi="Calibri"/>
          <w:sz w:val="19"/>
          <w:szCs w:val="19"/>
        </w:rPr>
        <w:t xml:space="preserve">Consolidated: World Cup 3-way case study frozen (equivalence replicates, n=9 descriptive); the earlier “book momentum” lead–lag hint retired honestly as a small-sample artifact (matured 210-game panel: no venue leads at 15-min; big repricings are simultaneous); per-league TOST made equivalence formal within MLB/NBA/NHL; CORP reliability diagrams added; and the whole suite became one command (</w:t>
      </w:r>
      <w:r>
        <w:rPr>
          <w:rFonts w:ascii="Consolas" w:cs="Consolas" w:eastAsia="Consolas" w:hAnsi="Consolas"/>
          <w:sz w:val="18"/>
          <w:szCs w:val="18"/>
        </w:rPr>
        <w:t xml:space="preserve">make_results</w:t>
      </w:r>
      <w:r>
        <w:rPr>
          <w:rFonts w:ascii="Calibri" w:cs="Calibri" w:eastAsia="Calibri" w:hAnsi="Calibri"/>
          <w:sz w:val="19"/>
          <w:szCs w:val="19"/>
        </w:rPr>
        <w:t xml:space="preserve">: every figure and number regenerated from raw data — no hand-carried values). Report skeleton written.</w:t>
      </w:r>
    </w:p>
    <w:p>
      <w:pPr>
        <w:pStyle w:val="ListParagraph"/>
        <w:numPr>
          <w:ilvl w:val="0"/>
          <w:numId w:val="2"/>
        </w:numPr>
        <w:spacing w:after="30" w:line="234" w:lineRule="auto"/>
      </w:pPr>
      <w:r>
        <w:rPr>
          <w:rFonts w:ascii="Calibri" w:cs="Calibri" w:eastAsia="Calibri" w:hAnsi="Calibri"/>
          <w:sz w:val="19"/>
          <w:szCs w:val="19"/>
        </w:rPr>
        <w:t xml:space="preserve">Six unplanned extensions, each answering a “but what about…”: Murphy diagrams (no proper scoring function separates the venues); a walk-forward Elo benchmark (markets beat public statistics by ~14×10⁻³ Brier, z≈7.4, while differing from each other by ≤0.5×10⁻³); minute-level lead–lag (563 games, 202K changes — a symmetric few-minute echo, no leader at any resolution); hierarchical Bayesian calibration (every league × source HDI covers perfect calibration); fee incidence (the fee cut relative taker volume ~41% but the quoted spread stayed pinned at the 1¢ tick — fees moved quantity, not price quality); and a replication of Bürgi–Deng–Whelan showing their platform-wide pathologies (−20% ROI, longshot cliff) vanish in sports, the one Kalshi corner with a professional benchmark.</w:t>
      </w:r>
    </w:p>
    <w:p>
      <w:pPr>
        <w:pStyle w:val="ListParagraph"/>
        <w:numPr>
          <w:ilvl w:val="0"/>
          <w:numId w:val="2"/>
        </w:numPr>
        <w:spacing w:after="30" w:line="234" w:lineRule="auto"/>
      </w:pPr>
      <w:r>
        <w:rPr>
          <w:rFonts w:ascii="Calibri" w:cs="Calibri" w:eastAsia="Calibri" w:hAnsi="Calibri"/>
          <w:sz w:val="19"/>
          <w:szCs w:val="19"/>
        </w:rPr>
        <w:t xml:space="preserve">Sent you findings.md and the checkpoint with the seven methodology questions ahead of our Jul 26 meeting; those questions are still open (list re-attached at the end).</w:t>
      </w:r>
    </w:p>
    <w:p>
      <w:pPr>
        <w:pBdr>
          <w:bottom w:val="single" w:color="D9D2E9" w:sz="4" w:space="2"/>
        </w:pBdr>
        <w:spacing w:after="60" w:before="150"/>
      </w:pPr>
      <w:r>
        <w:rPr>
          <w:rFonts w:ascii="Calibri" w:cs="Calibri" w:eastAsia="Calibri" w:hAnsi="Calibri"/>
          <w:b/>
          <w:bCs/>
          <w:color w:val="4E2A84"/>
          <w:sz w:val="21"/>
          <w:szCs w:val="21"/>
        </w:rPr>
        <w:t xml:space="preserve">Week 5</w:t>
      </w:r>
      <w:r>
        <w:rPr>
          <w:rFonts w:ascii="Calibri" w:cs="Calibri" w:eastAsia="Calibri" w:hAnsi="Calibri"/>
          <w:i/>
          <w:iCs/>
          <w:color w:val="595959"/>
          <w:sz w:val="19"/>
          <w:szCs w:val="19"/>
        </w:rPr>
        <w:t xml:space="preserve">   Jul 27–31 · a fourth institution, then a full self-audit</w:t>
      </w:r>
    </w:p>
    <w:p>
      <w:pPr>
        <w:pStyle w:val="ListParagraph"/>
        <w:numPr>
          <w:ilvl w:val="0"/>
          <w:numId w:val="2"/>
        </w:numPr>
        <w:spacing w:after="30" w:line="234" w:lineRule="auto"/>
      </w:pPr>
      <w:r>
        <w:rPr>
          <w:rFonts w:ascii="Calibri" w:cs="Calibri" w:eastAsia="Calibri" w:hAnsi="Calibri"/>
          <w:sz w:val="19"/>
          <w:szCs w:val="19"/>
        </w:rPr>
        <w:t xml:space="preserve">Tick-design analysis: on both exchanges the quoted touch </w:t>
      </w:r>
      <w:r>
        <w:rPr>
          <w:rFonts w:ascii="Calibri" w:cs="Calibri" w:eastAsia="Calibri" w:hAnsi="Calibri"/>
          <w:i/>
          <w:iCs/>
          <w:sz w:val="19"/>
          <w:szCs w:val="19"/>
        </w:rPr>
        <w:t xml:space="preserve">is</w:t>
      </w:r>
      <w:r>
        <w:rPr>
          <w:rFonts w:ascii="Calibri" w:cs="Calibri" w:eastAsia="Calibri" w:hAnsi="Calibri"/>
          <w:sz w:val="19"/>
          <w:szCs w:val="19"/>
        </w:rPr>
        <w:t xml:space="preserve"> the minimum tick (97%/96% at-tick), so Kalshi’s uniform 1¢ grid makes tail trading ~10× costlier than Polymarket’s 0.001 regime — the cost band sheltering the MLB bias is partly an exchange-design choice, which becomes the report’s institutional recommendation.</w:t>
      </w:r>
    </w:p>
    <w:p>
      <w:pPr>
        <w:pStyle w:val="ListParagraph"/>
        <w:numPr>
          <w:ilvl w:val="0"/>
          <w:numId w:val="2"/>
        </w:numPr>
        <w:spacing w:after="30" w:line="234" w:lineRule="auto"/>
      </w:pPr>
      <w:r>
        <w:rPr>
          <w:rFonts w:ascii="Calibri" w:cs="Calibri" w:eastAsia="Calibri" w:hAnsi="Calibri"/>
          <w:sz w:val="19"/>
          <w:szCs w:val="19"/>
        </w:rPr>
        <w:t xml:space="preserve">Added Polymarket US as a fourth leg from its public execution tape (n=2,639 four-way games): the dead heat extends — four Briers within 0.0002, TOST-equivalent each way — and US prices sit a median 0.50pt from Global’s despite legally disjoint participant pools. Nobody can arbitrage the two books, so agreement means shared information, not shared traders: the design’s cleanest mechanism demonstration.</w:t>
      </w:r>
    </w:p>
    <w:p>
      <w:pPr>
        <w:pStyle w:val="ListParagraph"/>
        <w:numPr>
          <w:ilvl w:val="0"/>
          <w:numId w:val="2"/>
        </w:numPr>
        <w:spacing w:after="30" w:line="234" w:lineRule="auto"/>
      </w:pPr>
      <w:r>
        <w:rPr>
          <w:rFonts w:ascii="Calibri" w:cs="Calibri" w:eastAsia="Calibri" w:hAnsi="Calibri"/>
          <w:sz w:val="19"/>
          <w:szCs w:val="19"/>
        </w:rPr>
        <w:t xml:space="preserve">Then spent three days trying to break my own results: a 48-check data-quality gate, a deep coherence audit (look-ahead, clock, side-flip, misattachment — 72 checks green), and a full code/methodology review that produced 23 verified findings. Real bugs surfaced and were fixed: a stale FDR inventory, a push-scoring bug, a tie-handling bias in the book PIT, an inverted sign label, duplicate cross-harvest rows, and book name-matching that silently dropped whole franchises (Clippers/Canadiens/Blues — ~290 games, since re-collected).</w:t>
      </w:r>
    </w:p>
    <w:p>
      <w:pPr>
        <w:pStyle w:val="ListParagraph"/>
        <w:numPr>
          <w:ilvl w:val="0"/>
          <w:numId w:val="2"/>
        </w:numPr>
        <w:spacing w:after="30" w:line="234" w:lineRule="auto"/>
      </w:pPr>
      <w:r>
        <w:rPr>
          <w:rFonts w:ascii="Calibri" w:cs="Calibri" w:eastAsia="Calibri" w:hAnsi="Calibri"/>
          <w:sz w:val="19"/>
          <w:szCs w:val="19"/>
        </w:rPr>
        <w:t xml:space="preserve">Consequences reported plainly: the MLB 45.0% run-line figure is </w:t>
      </w:r>
      <w:r>
        <w:rPr>
          <w:rFonts w:ascii="Calibri" w:cs="Calibri" w:eastAsia="Calibri" w:hAnsi="Calibri"/>
          <w:b/>
          <w:bCs/>
          <w:sz w:val="19"/>
          <w:szCs w:val="19"/>
        </w:rPr>
        <w:t xml:space="preserve">retracted</w:t>
      </w:r>
      <w:r>
        <w:rPr>
          <w:rFonts w:ascii="Calibri" w:cs="Calibri" w:eastAsia="Calibri" w:hAnsi="Calibri"/>
          <w:sz w:val="19"/>
          <w:szCs w:val="19"/>
        </w:rPr>
        <w:t xml:space="preserve"> (push-scoring artifact — the main lines are actually calibrated), an NBA encompassing sub-claim is retracted (died as n grew), and the “Kalshi carries extra information” whisper is downgraded to suggestive. Every headline conclusion survived every fix; two claims (books’ T−24h lead, late-flow information) actually </w:t>
      </w:r>
      <w:r>
        <w:rPr>
          <w:rFonts w:ascii="Calibri" w:cs="Calibri" w:eastAsia="Calibri" w:hAnsi="Calibri"/>
          <w:i/>
          <w:iCs/>
          <w:sz w:val="19"/>
          <w:szCs w:val="19"/>
        </w:rPr>
        <w:t xml:space="preserve">strengthened</w:t>
      </w:r>
      <w:r>
        <w:rPr>
          <w:rFonts w:ascii="Calibri" w:cs="Calibri" w:eastAsia="Calibri" w:hAnsi="Calibri"/>
          <w:sz w:val="19"/>
          <w:szCs w:val="19"/>
        </w:rPr>
        <w:t xml:space="preserve"> once selection bugs were repaired. Final configuration: three-way n=5,328, Briers 0.2196/0.2199/0.2196; FDR 12/13 claims at q=0.05; suite runs 38 modules in ~2 min with 0 failures.</w:t>
      </w:r>
    </w:p>
    <w:p>
      <w:pPr>
        <w:pBdr>
          <w:bottom w:val="single" w:color="D9D2E9" w:sz="4" w:space="2"/>
        </w:pBdr>
        <w:spacing w:after="60" w:before="150"/>
      </w:pPr>
      <w:r>
        <w:rPr>
          <w:rFonts w:ascii="Calibri" w:cs="Calibri" w:eastAsia="Calibri" w:hAnsi="Calibri"/>
          <w:b/>
          <w:bCs/>
          <w:color w:val="4E2A84"/>
          <w:sz w:val="21"/>
          <w:szCs w:val="21"/>
        </w:rPr>
        <w:t xml:space="preserve">Where that leaves things</w:t>
      </w:r>
    </w:p>
    <w:p>
      <w:pPr>
        <w:spacing w:after="60" w:line="234" w:lineRule="auto"/>
      </w:pPr>
      <w:r>
        <w:rPr>
          <w:rFonts w:ascii="Calibri" w:cs="Calibri" w:eastAsia="Calibri" w:hAnsi="Calibri"/>
          <w:sz w:val="19"/>
          <w:szCs w:val="19"/>
        </w:rPr>
        <w:t xml:space="preserve">Roughly two weeks ahead of the roadmap: measurement, robustness, and audit are done; writing starts now. Weeks 6–7: draft the report from the finished skeleton (first full draft to you ~Aug 3; two comment cycles fit if the first starts by ~Aug 8). Week 8: reproducibility packaging — secret rotation, README and data-availability note, public repo, retire the VPS collector. Standing chores continue: biweekly Kalshi re-harvest (~Aug 4), weekly VPS sync, and a final lead–lag + first price-of-immediacy pass on the accumulated depth series mid-August.</w:t>
      </w:r>
    </w:p>
    <w:p>
      <w:pPr>
        <w:pStyle w:val="ListParagraph"/>
        <w:numPr>
          <w:ilvl w:val="0"/>
          <w:numId w:val="2"/>
        </w:numPr>
        <w:spacing w:after="30" w:line="234" w:lineRule="auto"/>
      </w:pPr>
      <w:r>
        <w:rPr>
          <w:rFonts w:ascii="Calibri" w:cs="Calibri" w:eastAsia="Calibri" w:hAnsi="Calibri"/>
          <w:b/>
          <w:bCs/>
          <w:sz w:val="19"/>
          <w:szCs w:val="19"/>
        </w:rPr>
        <w:t xml:space="preserve">Still open from the checkpoint: </w:t>
      </w:r>
      <w:r>
        <w:rPr>
          <w:rFonts w:ascii="Calibri" w:cs="Calibri" w:eastAsia="Calibri" w:hAnsi="Calibri"/>
          <w:sz w:val="19"/>
          <w:szCs w:val="19"/>
        </w:rPr>
        <w:t xml:space="preserve">two-family FDR/TOST policy; the δ=0.001 TOST margin; interval-randomized PIT; date-only vs two-way clustering; lead–lag formality; RPS for the 3-way study; sign-off on the “sportsbook at the surface, forecasting instrument in aggregate” frame. Any ruling by email works — each changes report text.</w:t>
      </w:r>
    </w:p>
    <w:p>
      <w:pPr>
        <w:pStyle w:val="ListParagraph"/>
        <w:numPr>
          <w:ilvl w:val="0"/>
          <w:numId w:val="2"/>
        </w:numPr>
        <w:spacing w:after="30" w:line="234" w:lineRule="auto"/>
      </w:pPr>
      <w:r>
        <w:rPr>
          <w:rFonts w:ascii="Calibri" w:cs="Calibri" w:eastAsia="Calibri" w:hAnsi="Calibri"/>
          <w:b/>
          <w:bCs/>
          <w:sz w:val="19"/>
          <w:szCs w:val="19"/>
        </w:rPr>
        <w:t xml:space="preserve">Logistics: </w:t>
      </w:r>
      <w:r>
        <w:rPr>
          <w:rFonts w:ascii="Calibri" w:cs="Calibri" w:eastAsia="Calibri" w:hAnsi="Calibri"/>
          <w:sz w:val="19"/>
          <w:szCs w:val="19"/>
        </w:rPr>
        <w:t xml:space="preserve">grant report only, or also shape for a venue (arXiv / Journal of Prediction Markets)? What comment turnaround suits you? Any concern with the repo going public after secret rotation (book data shipped as code + instructions)?</w:t>
      </w:r>
    </w:p>
    <w:sectPr>
      <w:pgSz w:w="12240" w:h="15840" w:orient="portrait"/>
      <w:pgMar w:top="1008" w:right="1224" w:bottom="1008"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288" w:hanging="14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2026-07-31T00:56:25.530Z</dcterms:created>
  <dcterms:modified xsi:type="dcterms:W3CDTF">2026-07-31T00:56:25.531Z</dcterms:modified>
</cp:coreProperties>
</file>

<file path=docProps/custom.xml><?xml version="1.0" encoding="utf-8"?>
<Properties xmlns="http://schemas.openxmlformats.org/officeDocument/2006/custom-properties" xmlns:vt="http://schemas.openxmlformats.org/officeDocument/2006/docPropsVTypes"/>
</file>