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6"/>
          <w:szCs w:val="26"/>
        </w:rPr>
        <w:t xml:space="preserve">MEMO</w:t>
      </w:r>
    </w:p>
    <w:p>
      <w:pPr>
        <w:spacing w:after="50" w:line="228" w:lineRule="auto"/>
      </w:pPr>
      <w:r>
        <w:rPr>
          <w:rFonts w:ascii="Calibri" w:cs="Calibri" w:eastAsia="Calibri" w:hAnsi="Calibri"/>
          <w:b/>
          <w:bCs/>
          <w:sz w:val="19"/>
          <w:szCs w:val="19"/>
        </w:rPr>
        <w:t xml:space="preserve">To: </w:t>
      </w:r>
      <w:r>
        <w:rPr>
          <w:rFonts w:ascii="Calibri" w:cs="Calibri" w:eastAsia="Calibri" w:hAnsi="Calibri"/>
          <w:sz w:val="19"/>
          <w:szCs w:val="19"/>
        </w:rPr>
        <w:t xml:space="preserve">Professor Arend Kuyper</w:t>
      </w:r>
    </w:p>
    <w:p>
      <w:pPr>
        <w:spacing w:after="50" w:line="228" w:lineRule="auto"/>
      </w:pPr>
      <w:r>
        <w:rPr>
          <w:rFonts w:ascii="Calibri" w:cs="Calibri" w:eastAsia="Calibri" w:hAnsi="Calibri"/>
          <w:b/>
          <w:bCs/>
          <w:sz w:val="19"/>
          <w:szCs w:val="19"/>
        </w:rPr>
        <w:t xml:space="preserve">From: </w:t>
      </w:r>
      <w:r>
        <w:rPr>
          <w:rFonts w:ascii="Calibri" w:cs="Calibri" w:eastAsia="Calibri" w:hAnsi="Calibri"/>
          <w:sz w:val="19"/>
          <w:szCs w:val="19"/>
        </w:rPr>
        <w:t xml:space="preserve">Dylan Ryan</w:t>
      </w:r>
    </w:p>
    <w:p>
      <w:pPr>
        <w:spacing w:after="50" w:line="228" w:lineRule="auto"/>
      </w:pPr>
      <w:r>
        <w:rPr>
          <w:rFonts w:ascii="Calibri" w:cs="Calibri" w:eastAsia="Calibri" w:hAnsi="Calibri"/>
          <w:b/>
          <w:bCs/>
          <w:sz w:val="19"/>
          <w:szCs w:val="19"/>
        </w:rPr>
        <w:t xml:space="preserve">Date: </w:t>
      </w:r>
      <w:r>
        <w:rPr>
          <w:rFonts w:ascii="Calibri" w:cs="Calibri" w:eastAsia="Calibri" w:hAnsi="Calibri"/>
          <w:sz w:val="19"/>
          <w:szCs w:val="19"/>
        </w:rPr>
        <w:t xml:space="preserve">July 31, 2026</w:t>
      </w:r>
    </w:p>
    <w:p>
      <w:pPr>
        <w:spacing w:after="110"/>
      </w:pPr>
      <w:r>
        <w:rPr>
          <w:rFonts w:ascii="Calibri" w:cs="Calibri" w:eastAsia="Calibri" w:hAnsi="Calibri"/>
          <w:b/>
          <w:bCs/>
          <w:sz w:val="19"/>
          <w:szCs w:val="19"/>
        </w:rPr>
        <w:t xml:space="preserve">Re: </w:t>
      </w:r>
      <w:r>
        <w:rPr>
          <w:rFonts w:ascii="Calibri" w:cs="Calibri" w:eastAsia="Calibri" w:hAnsi="Calibri"/>
          <w:sz w:val="19"/>
          <w:szCs w:val="19"/>
        </w:rPr>
        <w:t xml:space="preserve">Progress, issues, and open questions (weeks 1–5 of 8)</w:t>
      </w:r>
    </w:p>
    <w:p>
      <w:pPr>
        <w:spacing w:after="50" w:line="228" w:lineRule="auto"/>
      </w:pPr>
      <w:r>
        <w:rPr>
          <w:rFonts w:ascii="Calibri" w:cs="Calibri" w:eastAsia="Calibri" w:hAnsi="Calibri"/>
          <w:sz w:val="19"/>
          <w:szCs w:val="19"/>
        </w:rPr>
        <w:t xml:space="preserve">The project's question is to what extent prediction markets function as another facet of gambling rather than as forecasting instruments. The version of that question we can actually test empirically: do prediction-market prices behave statistically like the professional sportsbook benchmark on the same games — in accuracy, calibration, coherence, and information content — or do they show the biases and exploitable errors the gambling literature documents? Below is where that stands, the problems I've hit along the way, and three questions I'd value your input on.</w:t>
      </w:r>
    </w:p>
    <w:p>
      <w:pPr>
        <w:spacing w:after="50" w:before="130"/>
      </w:pPr>
      <w:r>
        <w:rPr>
          <w:rFonts w:ascii="Calibri" w:cs="Calibri" w:eastAsia="Calibri" w:hAnsi="Calibri"/>
          <w:b/>
          <w:bCs/>
          <w:sz w:val="21"/>
          <w:szCs w:val="21"/>
        </w:rPr>
        <w:t xml:space="preserve">Progress</w:t>
      </w:r>
    </w:p>
    <w:p>
      <w:pPr>
        <w:spacing w:after="50" w:line="228" w:lineRule="auto"/>
      </w:pPr>
      <w:r>
        <w:rPr>
          <w:rFonts w:ascii="Calibri" w:cs="Calibri" w:eastAsia="Calibri" w:hAnsi="Calibri"/>
          <w:b/>
          <w:bCs/>
          <w:sz w:val="19"/>
          <w:szCs w:val="19"/>
        </w:rPr>
        <w:t xml:space="preserve">1. Data collection and validation</w:t>
      </w:r>
    </w:p>
    <w:p>
      <w:pPr>
        <w:pStyle w:val="ListParagraph"/>
        <w:numPr>
          <w:ilvl w:val="0"/>
          <w:numId w:val="2"/>
        </w:numPr>
        <w:spacing w:after="24" w:line="228" w:lineRule="auto"/>
      </w:pPr>
      <w:r>
        <w:rPr>
          <w:rFonts w:ascii="Calibri" w:cs="Calibri" w:eastAsia="Calibri" w:hAnsi="Calibri"/>
          <w:sz w:val="19"/>
          <w:szCs w:val="19"/>
        </w:rPr>
        <w:t xml:space="preserve">Collectors built for every source: 9,482-game ESPN registry (7 leagues, May 2025–Jul 2026); Kalshi prices for 9,186 games (order-book mids; trade reconstruction beyond the ~60-day API retention); Polymarket for 5,563; de-vigged ~10.5-book consensus for 5,151. Clean joint set: </w:t>
      </w:r>
      <w:r>
        <w:rPr>
          <w:rFonts w:ascii="Calibri" w:cs="Calibri" w:eastAsia="Calibri" w:hAnsi="Calibri"/>
          <w:b/>
          <w:bCs/>
          <w:sz w:val="19"/>
          <w:szCs w:val="19"/>
        </w:rPr>
        <w:t xml:space="preserve">n=5,328</w:t>
      </w:r>
      <w:r>
        <w:rPr>
          <w:rFonts w:ascii="Calibri" w:cs="Calibri" w:eastAsia="Calibri" w:hAnsi="Calibri"/>
          <w:sz w:val="19"/>
          <w:szCs w:val="19"/>
        </w:rPr>
        <w:t xml:space="preserve"> games priced by all three.</w:t>
      </w:r>
    </w:p>
    <w:p>
      <w:pPr>
        <w:pStyle w:val="ListParagraph"/>
        <w:numPr>
          <w:ilvl w:val="0"/>
          <w:numId w:val="2"/>
        </w:numPr>
        <w:spacing w:after="24" w:line="228" w:lineRule="auto"/>
      </w:pPr>
      <w:r>
        <w:rPr>
          <w:rFonts w:ascii="Calibri" w:cs="Calibri" w:eastAsia="Calibri" w:hAnsi="Calibri"/>
          <w:sz w:val="19"/>
          <w:szCs w:val="19"/>
        </w:rPr>
        <w:t xml:space="preserve">Depth data on top: 28,940 alternate-spread contracts, 710K individual fills, 7-horizon price paths, T−24h book consensus (3,461 games), and a live 15-min snapshot collector running since day one.</w:t>
      </w:r>
    </w:p>
    <w:p>
      <w:pPr>
        <w:pStyle w:val="ListParagraph"/>
        <w:numPr>
          <w:ilvl w:val="0"/>
          <w:numId w:val="2"/>
        </w:numPr>
        <w:spacing w:after="24" w:line="228" w:lineRule="auto"/>
      </w:pPr>
      <w:r>
        <w:rPr>
          <w:rFonts w:ascii="Calibri" w:cs="Calibri" w:eastAsia="Calibri" w:hAnsi="Calibri"/>
          <w:sz w:val="19"/>
          <w:szCs w:val="19"/>
        </w:rPr>
        <w:t xml:space="preserve">Validation: outcomes cross-checked against both platforms' settlements; reconstructed prices checked against archived order books (99% within 1pt); the whole suite regenerates from raw files in one command (38 modules, 0 failures).</w:t>
      </w:r>
    </w:p>
    <w:p>
      <w:pPr>
        <w:spacing w:after="50" w:line="228" w:lineRule="auto"/>
      </w:pPr>
      <w:r>
        <w:rPr>
          <w:rFonts w:ascii="Calibri" w:cs="Calibri" w:eastAsia="Calibri" w:hAnsi="Calibri"/>
          <w:b/>
          <w:bCs/>
          <w:sz w:val="19"/>
          <w:szCs w:val="19"/>
        </w:rPr>
        <w:t xml:space="preserve">2. The core comparisons</w:t>
      </w:r>
      <w:r>
        <w:rPr>
          <w:rFonts w:ascii="Calibri" w:cs="Calibri" w:eastAsia="Calibri" w:hAnsi="Calibri"/>
          <w:sz w:val="19"/>
          <w:szCs w:val="19"/>
        </w:rPr>
        <w:t xml:space="preserve"> — measured on the same games, source by source: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50"/>
        <w:gridCol w:w="2700"/>
        <w:gridCol w:w="5242"/>
      </w:tblGrid>
      <w:tr>
        <w:tc>
          <w:tcPr>
            <w:tcW w:type="dxa" w:w="1850"/>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Measure</w:t>
            </w:r>
          </w:p>
        </w:tc>
        <w:tc>
          <w:tcPr>
            <w:tcW w:type="dxa" w:w="2700"/>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Data</w:t>
            </w:r>
          </w:p>
        </w:tc>
        <w:tc>
          <w:tcPr>
            <w:tcW w:type="dxa" w:w="5242"/>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Result so far</w:t>
            </w:r>
          </w:p>
        </w:tc>
      </w:tr>
      <w:tr>
        <w:tc>
          <w:tcPr>
            <w:tcW w:type="dxa" w:w="1850"/>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Forecast accuracy</w:t>
            </w:r>
          </w:p>
        </w:tc>
        <w:tc>
          <w:tcPr>
            <w:tcW w:type="dxa" w:w="2700"/>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Same 5,328 games, all three sources (Brier)</w:t>
            </w:r>
          </w:p>
        </w:tc>
        <w:tc>
          <w:tcPr>
            <w:tcW w:type="dxa" w:w="5242"/>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0.2196 / 0.2199 / 0.2196 (Kalshi / Polymarket / books); no pairwise difference (clustered DM p ≥ 0.15); TOST-equivalent at δ=0.001, pooled and within MLB/NBA/NHL</w:t>
            </w:r>
          </w:p>
        </w:tc>
      </w:tr>
      <w:tr>
        <w:tc>
          <w:tcPr>
            <w:tcW w:type="dxa" w:w="1850"/>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Calibration &amp; sharpness</w:t>
            </w:r>
          </w:p>
        </w:tc>
        <w:tc>
          <w:tcPr>
            <w:tcW w:type="dxa" w:w="2700"/>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Reliability curves, logistic slopes, CORP</w:t>
            </w:r>
          </w:p>
        </w:tc>
        <w:tc>
          <w:tcPr>
            <w:tcW w:type="dxa" w:w="5242"/>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Slopes 0.98–1.03, all CIs include 1; every source inside its consistency band; sharpness equal (exchanges fractionally sharper)</w:t>
            </w:r>
          </w:p>
        </w:tc>
      </w:tr>
      <w:tr>
        <w:tc>
          <w:tcPr>
            <w:tcW w:type="dxa" w:w="1850"/>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Favorite–longshot bias</w:t>
            </w:r>
          </w:p>
        </w:tc>
        <w:tc>
          <w:tcPr>
            <w:tcW w:type="dxa" w:w="2700"/>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Slopes + 28,940 ladder contracts</w:t>
            </w:r>
          </w:p>
        </w:tc>
        <w:tc>
          <w:tcPr>
            <w:tcW w:type="dxa" w:w="5242"/>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Not detected in any source; ladder longshots slightly underpriced if anything</w:t>
            </w:r>
          </w:p>
        </w:tc>
      </w:tr>
      <w:tr>
        <w:tc>
          <w:tcPr>
            <w:tcW w:type="dxa" w:w="1850"/>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Internal coherence</w:t>
            </w:r>
          </w:p>
        </w:tc>
        <w:tc>
          <w:tcPr>
            <w:tcW w:type="dxa" w:w="2700"/>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Ladder monotonicity, cross-contract arbitrage</w:t>
            </w:r>
          </w:p>
        </w:tc>
        <w:tc>
          <w:tcPr>
            <w:tcW w:type="dxa" w:w="5242"/>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97.3% of ladders perfectly monotone; executable arbitrage 0.10%; one real divergence — MLB small margins (Kalshi +8.4pts vs books +0.4)</w:t>
            </w:r>
          </w:p>
        </w:tc>
      </w:tr>
      <w:tr>
        <w:tc>
          <w:tcPr>
            <w:tcW w:type="dxa" w:w="1850"/>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Information content</w:t>
            </w:r>
          </w:p>
        </w:tc>
        <w:tc>
          <w:tcPr>
            <w:tcW w:type="dxa" w:w="2700"/>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Vs a walk-forward Elo model from public W/L records</w:t>
            </w:r>
          </w:p>
        </w:tc>
        <w:tc>
          <w:tcPr>
            <w:tcW w:type="dxa" w:w="5242"/>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Every source more accurate by ~14×10⁻³ Brier (z≈7.4); the sources indistinguishable from each other; the book fully encompasses the model</w:t>
            </w:r>
          </w:p>
        </w:tc>
      </w:tr>
      <w:tr>
        <w:tc>
          <w:tcPr>
            <w:tcW w:type="dxa" w:w="1850"/>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Exploitability</w:t>
            </w:r>
          </w:p>
        </w:tc>
        <w:tc>
          <w:tcPr>
            <w:tcW w:type="dxa" w:w="2700"/>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Cost-aware backtests</w:t>
            </w:r>
          </w:p>
        </w:tc>
        <w:tc>
          <w:tcPr>
            <w:tcW w:type="dxa" w:w="5242"/>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No tested strategy clears transaction costs, including trading against the MLB divergence (−2.9 to −4.5% net)</w:t>
            </w:r>
          </w:p>
        </w:tc>
      </w:tr>
      <w:tr>
        <w:tc>
          <w:tcPr>
            <w:tcW w:type="dxa" w:w="1850"/>
            <w:tcMar>
              <w:top w:type="dxa" w:w="30"/>
              <w:left w:type="dxa" w:w="80"/>
              <w:bottom w:type="dxa" w:w="30"/>
              <w:right w:type="dxa" w:w="80"/>
            </w:tcMar>
          </w:tcPr>
          <w:p>
            <w:pPr>
              <w:spacing w:after="0" w:line="216" w:lineRule="auto"/>
            </w:pPr>
            <w:r>
              <w:rPr>
                <w:rFonts w:ascii="Calibri" w:cs="Calibri" w:eastAsia="Calibri" w:hAnsi="Calibri"/>
                <w:b/>
                <w:bCs/>
                <w:sz w:val="17"/>
                <w:szCs w:val="17"/>
              </w:rPr>
              <w:t xml:space="preserve">Transaction costs</w:t>
            </w:r>
          </w:p>
        </w:tc>
        <w:tc>
          <w:tcPr>
            <w:tcW w:type="dxa" w:w="2700"/>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Overrounds, quoted spreads</w:t>
            </w:r>
          </w:p>
        </w:tc>
        <w:tc>
          <w:tcPr>
            <w:tcW w:type="dxa" w:w="5242"/>
            <w:tcMar>
              <w:top w:type="dxa" w:w="30"/>
              <w:left w:type="dxa" w:w="80"/>
              <w:bottom w:type="dxa" w:w="30"/>
              <w:right w:type="dxa" w:w="80"/>
            </w:tcMar>
          </w:tcPr>
          <w:p>
            <w:pPr>
              <w:spacing w:after="0" w:line="216" w:lineRule="auto"/>
            </w:pPr>
            <w:r>
              <w:rPr>
                <w:rFonts w:ascii="Calibri" w:cs="Calibri" w:eastAsia="Calibri" w:hAnsi="Calibri"/>
                <w:b w:val="false"/>
                <w:bCs w:val="false"/>
                <w:sz w:val="17"/>
                <w:szCs w:val="17"/>
              </w:rPr>
              <w:t xml:space="preserve">Exchanges ~1% vs books ~4.2%; both exchanges' quoted spreads pinned at the minimum tick</w:t>
            </w:r>
          </w:p>
        </w:tc>
      </w:tr>
    </w:tbl>
    <w:p>
      <w:pPr>
        <w:pStyle w:val="ListParagraph"/>
        <w:numPr>
          <w:ilvl w:val="0"/>
          <w:numId w:val="2"/>
        </w:numPr>
        <w:spacing w:after="24" w:line="228" w:lineRule="auto"/>
      </w:pPr>
      <w:r>
        <w:rPr>
          <w:rFonts w:ascii="Calibri" w:cs="Calibri" w:eastAsia="Calibri" w:hAnsi="Calibri"/>
          <w:sz w:val="19"/>
          <w:szCs w:val="19"/>
        </w:rPr>
        <w:t xml:space="preserve">Reading the table: on every accuracy and calibration measure tested so far, we cannot statistically distinguish the sources — and for the central accuracy comparison the stronger statement holds (formal TOST equivalence within a pre-stated margin, not just absence of significance).</w:t>
      </w:r>
    </w:p>
    <w:p>
      <w:pPr>
        <w:pStyle w:val="ListParagraph"/>
        <w:numPr>
          <w:ilvl w:val="0"/>
          <w:numId w:val="2"/>
        </w:numPr>
        <w:spacing w:after="24" w:line="228" w:lineRule="auto"/>
      </w:pPr>
      <w:r>
        <w:rPr>
          <w:rFonts w:ascii="Calibri" w:cs="Calibri" w:eastAsia="Calibri" w:hAnsi="Calibri"/>
          <w:sz w:val="19"/>
          <w:szCs w:val="19"/>
        </w:rPr>
        <w:t xml:space="preserve">The differences that do show up are in transaction costs and one thin derivative market, and the one mispricing found does not survive costs. How much weight the equivalence margin can bear is question 1 below.</w:t>
      </w:r>
    </w:p>
    <w:p>
      <w:pPr>
        <w:spacing w:after="50" w:line="228" w:lineRule="auto"/>
      </w:pPr>
      <w:r>
        <w:rPr>
          <w:rFonts w:ascii="Calibri" w:cs="Calibri" w:eastAsia="Calibri" w:hAnsi="Calibri"/>
          <w:b/>
          <w:bCs/>
          <w:sz w:val="19"/>
          <w:szCs w:val="19"/>
        </w:rPr>
        <w:t xml:space="preserve">3. Follow-on analyses</w:t>
      </w:r>
      <w:r>
        <w:rPr>
          <w:rFonts w:ascii="Calibri" w:cs="Calibri" w:eastAsia="Calibri" w:hAnsi="Calibri"/>
          <w:sz w:val="19"/>
          <w:szCs w:val="19"/>
        </w:rPr>
        <w:t xml:space="preserve"> — each motivated by the previous result:</w:t>
      </w:r>
    </w:p>
    <w:p>
      <w:pPr>
        <w:pStyle w:val="ListParagraph"/>
        <w:numPr>
          <w:ilvl w:val="0"/>
          <w:numId w:val="2"/>
        </w:numPr>
        <w:spacing w:after="24" w:line="228" w:lineRule="auto"/>
      </w:pPr>
      <w:r>
        <w:rPr>
          <w:rFonts w:ascii="Calibri" w:cs="Calibri" w:eastAsia="Calibri" w:hAnsi="Calibri"/>
          <w:b/>
          <w:bCs/>
          <w:sz w:val="19"/>
          <w:szCs w:val="19"/>
        </w:rPr>
        <w:t xml:space="preserve">Timing: </w:t>
      </w:r>
      <w:r>
        <w:rPr>
          <w:rFonts w:ascii="Calibri" w:cs="Calibri" w:eastAsia="Calibri" w:hAnsi="Calibri"/>
          <w:sz w:val="19"/>
          <w:szCs w:val="19"/>
        </w:rPr>
        <w:t xml:space="preserve">the books hold a small accuracy lead a day out (p=0.020) that closes by game start; the exchanges' final-day order flow predicts outcomes beyond the closing book line (z=3.4).</w:t>
      </w:r>
    </w:p>
    <w:p>
      <w:pPr>
        <w:pStyle w:val="ListParagraph"/>
        <w:numPr>
          <w:ilvl w:val="0"/>
          <w:numId w:val="2"/>
        </w:numPr>
        <w:spacing w:after="24" w:line="228" w:lineRule="auto"/>
      </w:pPr>
      <w:r>
        <w:rPr>
          <w:rFonts w:ascii="Calibri" w:cs="Calibri" w:eastAsia="Calibri" w:hAnsi="Calibri"/>
          <w:b/>
          <w:bCs/>
          <w:sz w:val="19"/>
          <w:szCs w:val="19"/>
        </w:rPr>
        <w:t xml:space="preserve">Lead–lag: </w:t>
      </w:r>
      <w:r>
        <w:rPr>
          <w:rFonts w:ascii="Calibri" w:cs="Calibri" w:eastAsia="Calibri" w:hAnsi="Calibri"/>
          <w:sz w:val="19"/>
          <w:szCs w:val="19"/>
        </w:rPr>
        <w:t xml:space="preserve">no venue systematically leads at 15-minute or 1-minute resolution; large repricings happen in the same step, and ~80% of large book-line moves are never echoed by the exchanges.</w:t>
      </w:r>
    </w:p>
    <w:p>
      <w:pPr>
        <w:pStyle w:val="ListParagraph"/>
        <w:numPr>
          <w:ilvl w:val="0"/>
          <w:numId w:val="2"/>
        </w:numPr>
        <w:spacing w:after="24" w:line="228" w:lineRule="auto"/>
      </w:pPr>
      <w:r>
        <w:rPr>
          <w:rFonts w:ascii="Calibri" w:cs="Calibri" w:eastAsia="Calibri" w:hAnsi="Calibri"/>
          <w:b/>
          <w:bCs/>
          <w:sz w:val="19"/>
          <w:szCs w:val="19"/>
        </w:rPr>
        <w:t xml:space="preserve">Trade level: </w:t>
      </w:r>
      <w:r>
        <w:rPr>
          <w:rFonts w:ascii="Calibri" w:cs="Calibri" w:eastAsia="Calibri" w:hAnsi="Calibri"/>
          <w:sz w:val="19"/>
          <w:szCs w:val="19"/>
        </w:rPr>
        <w:t xml:space="preserve">aggressive order flow carries no information at any trade size — price updating appears to come from quote revision, not takers.</w:t>
      </w:r>
    </w:p>
    <w:p>
      <w:pPr>
        <w:pStyle w:val="ListParagraph"/>
        <w:numPr>
          <w:ilvl w:val="0"/>
          <w:numId w:val="2"/>
        </w:numPr>
        <w:spacing w:after="24" w:line="228" w:lineRule="auto"/>
      </w:pPr>
      <w:r>
        <w:rPr>
          <w:rFonts w:ascii="Calibri" w:cs="Calibri" w:eastAsia="Calibri" w:hAnsi="Calibri"/>
          <w:b/>
          <w:bCs/>
          <w:sz w:val="19"/>
          <w:szCs w:val="19"/>
        </w:rPr>
        <w:t xml:space="preserve">A fourth venue: </w:t>
      </w:r>
      <w:r>
        <w:rPr>
          <w:rFonts w:ascii="Calibri" w:cs="Calibri" w:eastAsia="Calibri" w:hAnsi="Calibri"/>
          <w:sz w:val="19"/>
          <w:szCs w:val="19"/>
        </w:rPr>
        <w:t xml:space="preserve">Polymarket US (a legally separate, US-only pool) is statistically equivalent to the other three on its overlap sample (n=2,639) and sits a median 0.50pt from Polymarket Global.</w:t>
      </w:r>
    </w:p>
    <w:p>
      <w:pPr>
        <w:pStyle w:val="ListParagraph"/>
        <w:numPr>
          <w:ilvl w:val="0"/>
          <w:numId w:val="2"/>
        </w:numPr>
        <w:spacing w:after="24" w:line="228" w:lineRule="auto"/>
      </w:pPr>
      <w:r>
        <w:rPr>
          <w:rFonts w:ascii="Calibri" w:cs="Calibri" w:eastAsia="Calibri" w:hAnsi="Calibri"/>
          <w:b/>
          <w:bCs/>
          <w:sz w:val="19"/>
          <w:szCs w:val="19"/>
        </w:rPr>
        <w:t xml:space="preserve">A mid-sample fee change: </w:t>
      </w:r>
      <w:r>
        <w:rPr>
          <w:rFonts w:ascii="Calibri" w:cs="Calibri" w:eastAsia="Calibri" w:hAnsi="Calibri"/>
          <w:sz w:val="19"/>
          <w:szCs w:val="19"/>
        </w:rPr>
        <w:t xml:space="preserve">Polymarket's Mar 30 sports fee shows no measurable effect on accuracy (DiD p=0.74) but a −41% relative drop in taker volume.</w:t>
      </w:r>
    </w:p>
    <w:p>
      <w:pPr>
        <w:pStyle w:val="ListParagraph"/>
        <w:numPr>
          <w:ilvl w:val="0"/>
          <w:numId w:val="2"/>
        </w:numPr>
        <w:spacing w:after="24" w:line="228" w:lineRule="auto"/>
      </w:pPr>
      <w:r>
        <w:rPr>
          <w:rFonts w:ascii="Calibri" w:cs="Calibri" w:eastAsia="Calibri" w:hAnsi="Calibri"/>
          <w:b/>
          <w:bCs/>
          <w:sz w:val="19"/>
          <w:szCs w:val="19"/>
        </w:rPr>
        <w:t xml:space="preserve">Literature replication: </w:t>
      </w:r>
      <w:r>
        <w:rPr>
          <w:rFonts w:ascii="Calibri" w:cs="Calibri" w:eastAsia="Calibri" w:hAnsi="Calibri"/>
          <w:sz w:val="19"/>
          <w:szCs w:val="19"/>
        </w:rPr>
        <w:t xml:space="preserve">the large platform-wide Kalshi biases Bürgi–Deng–Whelan document (−20% average returns, severe longshot losses) do not appear in our sports sample — a contrast to discuss carefully, not over-interpret.</w:t>
      </w:r>
    </w:p>
    <w:p>
      <w:pPr>
        <w:spacing w:after="50" w:before="130"/>
      </w:pPr>
      <w:r>
        <w:rPr>
          <w:rFonts w:ascii="Calibri" w:cs="Calibri" w:eastAsia="Calibri" w:hAnsi="Calibri"/>
          <w:b/>
          <w:bCs/>
          <w:sz w:val="21"/>
          <w:szCs w:val="21"/>
        </w:rPr>
        <w:t xml:space="preserve">Issues</w:t>
      </w:r>
    </w:p>
    <w:p>
      <w:pPr>
        <w:pStyle w:val="ListParagraph"/>
        <w:numPr>
          <w:ilvl w:val="0"/>
          <w:numId w:val="2"/>
        </w:numPr>
        <w:spacing w:after="24" w:line="228" w:lineRule="auto"/>
      </w:pPr>
      <w:r>
        <w:rPr>
          <w:rFonts w:ascii="Calibri" w:cs="Calibri" w:eastAsia="Calibri" w:hAnsi="Calibri"/>
          <w:b/>
          <w:bCs/>
          <w:sz w:val="19"/>
          <w:szCs w:val="19"/>
        </w:rPr>
        <w:t xml:space="preserve">Side-assignment contamination: </w:t>
      </w:r>
      <w:r>
        <w:rPr>
          <w:rFonts w:ascii="Calibri" w:cs="Calibri" w:eastAsia="Calibri" w:hAnsi="Calibri"/>
          <w:sz w:val="19"/>
          <w:szCs w:val="19"/>
        </w:rPr>
        <w:t xml:space="preserve">an impossible backtest profit exposed ~350 games with sides mis-assigned by team-code collisions. Fixed with a ticker-order rule (99.6% validated against ESPN); the bug had produced a spurious “Kalshi lags the books” result (p=0.004) that disappeared in clean data.</w:t>
      </w:r>
    </w:p>
    <w:p>
      <w:pPr>
        <w:pStyle w:val="ListParagraph"/>
        <w:numPr>
          <w:ilvl w:val="0"/>
          <w:numId w:val="2"/>
        </w:numPr>
        <w:spacing w:after="24" w:line="228" w:lineRule="auto"/>
      </w:pPr>
      <w:r>
        <w:rPr>
          <w:rFonts w:ascii="Calibri" w:cs="Calibri" w:eastAsia="Calibri" w:hAnsi="Calibri"/>
          <w:b/>
          <w:bCs/>
          <w:sz w:val="19"/>
          <w:szCs w:val="19"/>
        </w:rPr>
        <w:t xml:space="preserve">Code-review corrections: </w:t>
      </w:r>
      <w:r>
        <w:rPr>
          <w:rFonts w:ascii="Calibri" w:cs="Calibri" w:eastAsia="Calibri" w:hAnsi="Calibri"/>
          <w:sz w:val="19"/>
          <w:szCs w:val="19"/>
        </w:rPr>
        <w:t xml:space="preserve">a full review of my own code (Jul 30, 23 verified findings) caught a stale results inventory, a push-scoring bug, and a PIT tie-handling bias. Two earlier claims retracted (the MLB 45.0% run-line figure — a push-scoring artifact — and an NBA sub-claim that faded as n grew); one downgraded (Kalshi adding information beyond the books is now borderline, p≈0.05).</w:t>
      </w:r>
    </w:p>
    <w:p>
      <w:pPr>
        <w:pStyle w:val="ListParagraph"/>
        <w:numPr>
          <w:ilvl w:val="0"/>
          <w:numId w:val="2"/>
        </w:numPr>
        <w:spacing w:after="24" w:line="228" w:lineRule="auto"/>
      </w:pPr>
      <w:r>
        <w:rPr>
          <w:rFonts w:ascii="Calibri" w:cs="Calibri" w:eastAsia="Calibri" w:hAnsi="Calibri"/>
          <w:b/>
          <w:bCs/>
          <w:sz w:val="19"/>
          <w:szCs w:val="19"/>
        </w:rPr>
        <w:t xml:space="preserve">Coverage repair: </w:t>
      </w:r>
      <w:r>
        <w:rPr>
          <w:rFonts w:ascii="Calibri" w:cs="Calibri" w:eastAsia="Calibri" w:hAnsi="Calibri"/>
          <w:sz w:val="19"/>
          <w:szCs w:val="19"/>
        </w:rPr>
        <w:t xml:space="preserve">name-matching bugs had silently dropped ~290 games of book coverage for three franchises; re-collected. The core comparisons above are unchanged by all fixes.</w:t>
      </w:r>
    </w:p>
    <w:p>
      <w:pPr>
        <w:pStyle w:val="ListParagraph"/>
        <w:numPr>
          <w:ilvl w:val="0"/>
          <w:numId w:val="2"/>
        </w:numPr>
        <w:spacing w:after="24" w:line="228" w:lineRule="auto"/>
      </w:pPr>
      <w:r>
        <w:rPr>
          <w:rFonts w:ascii="Calibri" w:cs="Calibri" w:eastAsia="Calibri" w:hAnsi="Calibri"/>
          <w:b/>
          <w:bCs/>
          <w:sz w:val="19"/>
          <w:szCs w:val="19"/>
        </w:rPr>
        <w:t xml:space="preserve">Data constraints: </w:t>
      </w:r>
      <w:r>
        <w:rPr>
          <w:rFonts w:ascii="Calibri" w:cs="Calibri" w:eastAsia="Calibri" w:hAnsi="Calibri"/>
          <w:sz w:val="19"/>
          <w:szCs w:val="19"/>
        </w:rPr>
        <w:t xml:space="preserve">Kalshi's ~60-day retention forces a re-harvest cadence and leaves older thin-market prices on trade reconstruction; API credits cap book history; the archived Polymarket volume data has a March gap the fee analysis works around; one season of US sports, so small leagues are underpowered.</w:t>
      </w:r>
    </w:p>
    <w:p>
      <w:pPr>
        <w:spacing w:after="50" w:before="130"/>
      </w:pPr>
      <w:r>
        <w:rPr>
          <w:rFonts w:ascii="Calibri" w:cs="Calibri" w:eastAsia="Calibri" w:hAnsi="Calibri"/>
          <w:b/>
          <w:bCs/>
          <w:sz w:val="21"/>
          <w:szCs w:val="21"/>
        </w:rPr>
        <w:t xml:space="preserve">Questions</w:t>
      </w:r>
    </w:p>
    <w:p>
      <w:pPr>
        <w:pStyle w:val="ListParagraph"/>
        <w:numPr>
          <w:ilvl w:val="0"/>
          <w:numId w:val="2"/>
        </w:numPr>
        <w:spacing w:after="24" w:line="228" w:lineRule="auto"/>
      </w:pPr>
      <w:r>
        <w:rPr>
          <w:rFonts w:ascii="Calibri" w:cs="Calibri" w:eastAsia="Calibri" w:hAnsi="Calibri"/>
          <w:b/>
          <w:bCs/>
          <w:sz w:val="19"/>
          <w:szCs w:val="19"/>
        </w:rPr>
        <w:t xml:space="preserve">Equivalence margin. </w:t>
      </w:r>
      <w:r>
        <w:rPr>
          <w:rFonts w:ascii="Calibri" w:cs="Calibri" w:eastAsia="Calibri" w:hAnsi="Calibri"/>
          <w:sz w:val="19"/>
          <w:szCs w:val="19"/>
        </w:rPr>
        <w:t xml:space="preserve">The formal equivalence claim uses TOST with a margin of δ=0.001 Brier (~0.5% per-game probability error). Is that margin defensible, or should it be tied to something with clearer economic meaning (e.g., the accuracy edge a trader would need to overcome costs)? This determines how strongly the central result can be stated.</w:t>
      </w:r>
    </w:p>
    <w:p>
      <w:pPr>
        <w:pStyle w:val="ListParagraph"/>
        <w:numPr>
          <w:ilvl w:val="0"/>
          <w:numId w:val="2"/>
        </w:numPr>
        <w:spacing w:after="24" w:line="228" w:lineRule="auto"/>
      </w:pPr>
      <w:r>
        <w:rPr>
          <w:rFonts w:ascii="Calibri" w:cs="Calibri" w:eastAsia="Calibri" w:hAnsi="Calibri"/>
          <w:b/>
          <w:bCs/>
          <w:sz w:val="19"/>
          <w:szCs w:val="19"/>
        </w:rPr>
        <w:t xml:space="preserve">Multiple testing. </w:t>
      </w:r>
      <w:r>
        <w:rPr>
          <w:rFonts w:ascii="Calibri" w:cs="Calibri" w:eastAsia="Calibri" w:hAnsi="Calibri"/>
          <w:sz w:val="19"/>
          <w:szCs w:val="19"/>
        </w:rPr>
        <w:t xml:space="preserve">We run BH-FDR (q=0.05) over the positive claims and inventory equivalence/null results separately with their own TOST margins, on the logic that equivalences are not discoveries. Is the two-family separation defensible, or should every test go into one family?</w:t>
      </w:r>
    </w:p>
    <w:p>
      <w:pPr>
        <w:pStyle w:val="ListParagraph"/>
        <w:numPr>
          <w:ilvl w:val="0"/>
          <w:numId w:val="2"/>
        </w:numPr>
        <w:spacing w:after="24" w:line="228" w:lineRule="auto"/>
      </w:pPr>
      <w:r>
        <w:rPr>
          <w:rFonts w:ascii="Calibri" w:cs="Calibri" w:eastAsia="Calibri" w:hAnsi="Calibri"/>
          <w:b/>
          <w:bCs/>
          <w:sz w:val="19"/>
          <w:szCs w:val="19"/>
        </w:rPr>
        <w:t xml:space="preserve">Clustering. </w:t>
      </w:r>
      <w:r>
        <w:rPr>
          <w:rFonts w:ascii="Calibri" w:cs="Calibri" w:eastAsia="Calibri" w:hAnsi="Calibri"/>
          <w:sz w:val="19"/>
          <w:szCs w:val="19"/>
        </w:rPr>
        <w:t xml:space="preserve">All inference currently clusters by date, since same-day games share weather/news/lineup shocks. Is date-only standard here, or should we add two-way (date × league) robustness? It affects every reported p-value.</w:t>
      </w:r>
    </w:p>
    <w:p>
      <w:pPr>
        <w:spacing w:after="0" w:before="60" w:line="228" w:lineRule="auto"/>
      </w:pPr>
      <w:r>
        <w:rPr>
          <w:rFonts w:ascii="Calibri" w:cs="Calibri" w:eastAsia="Calibri" w:hAnsi="Calibri"/>
          <w:sz w:val="19"/>
          <w:szCs w:val="19"/>
        </w:rPr>
        <w:t xml:space="preserve">First report draft should reach you around Aug 3 — answers to any of the above by email would slot straight into it.</w:t>
      </w:r>
    </w:p>
    <w:sectPr>
      <w:pgSz w:w="12240" w:h="15840"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288" w:hanging="1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2026-07-31T17:20:30.193Z</dcterms:created>
  <dcterms:modified xsi:type="dcterms:W3CDTF">2026-07-31T17:20:30.195Z</dcterms:modified>
</cp:coreProperties>
</file>

<file path=docProps/custom.xml><?xml version="1.0" encoding="utf-8"?>
<Properties xmlns="http://schemas.openxmlformats.org/officeDocument/2006/custom-properties" xmlns:vt="http://schemas.openxmlformats.org/officeDocument/2006/docPropsVTypes"/>
</file>