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4E2A84"/>
          <w:sz w:val="30"/>
          <w:szCs w:val="30"/>
        </w:rPr>
        <w:t xml:space="preserve">RESEARCH PROGRESS MEMO</w:t>
      </w:r>
    </w:p>
    <w:p>
      <w:pPr>
        <w:pBdr>
          <w:bottom w:val="single" w:color="4E2A84" w:sz="8" w:space="4"/>
        </w:pBdr>
        <w:spacing w:after="10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Calibrating the Crowd: Assessing Prediction Market Accuracy Through Sports Betting Markets</w:t>
      </w:r>
    </w:p>
    <w:p>
      <w:pPr>
        <w:spacing w:after="60" w:line="234" w:lineRule="auto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To: </w:t>
      </w:r>
      <w:r>
        <w:rPr>
          <w:rFonts w:ascii="Calibri" w:cs="Calibri" w:eastAsia="Calibri" w:hAnsi="Calibri"/>
          <w:sz w:val="19"/>
          <w:szCs w:val="19"/>
        </w:rPr>
        <w:t xml:space="preserve">Professor Arend Kuyper     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From: </w:t>
      </w:r>
      <w:r>
        <w:rPr>
          <w:rFonts w:ascii="Calibri" w:cs="Calibri" w:eastAsia="Calibri" w:hAnsi="Calibri"/>
          <w:sz w:val="19"/>
          <w:szCs w:val="19"/>
        </w:rPr>
        <w:t xml:space="preserve">Dylan Ryan     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Date: </w:t>
      </w:r>
      <w:r>
        <w:rPr>
          <w:rFonts w:ascii="Calibri" w:cs="Calibri" w:eastAsia="Calibri" w:hAnsi="Calibri"/>
          <w:sz w:val="19"/>
          <w:szCs w:val="19"/>
        </w:rPr>
        <w:t xml:space="preserve">July 31, 2026     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Re: </w:t>
      </w:r>
      <w:r>
        <w:rPr>
          <w:rFonts w:ascii="Calibri" w:cs="Calibri" w:eastAsia="Calibri" w:hAnsi="Calibri"/>
          <w:sz w:val="19"/>
          <w:szCs w:val="19"/>
        </w:rPr>
        <w:t xml:space="preserve">Progress to date (weeks 1–5 of 8)</w:t>
      </w:r>
    </w:p>
    <w:p>
      <w:pPr>
        <w:pBdr>
          <w:bottom w:val="single" w:color="D9D2E9" w:sz="4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4E2A84"/>
          <w:sz w:val="21"/>
          <w:szCs w:val="21"/>
        </w:rPr>
        <w:t xml:space="preserve">The short version</w:t>
      </w:r>
    </w:p>
    <w:p>
      <w:pPr>
        <w:spacing w:after="60" w:line="234" w:lineRule="auto"/>
      </w:pPr>
      <w:r>
        <w:rPr>
          <w:rFonts w:ascii="Calibri" w:cs="Calibri" w:eastAsia="Calibri" w:hAnsi="Calibri"/>
          <w:sz w:val="19"/>
          <w:szCs w:val="19"/>
        </w:rPr>
        <w:t xml:space="preserve">The proposal asked whether sports prediction markets are calibrated forecasting tools or just another way to gamble. Measurement is done, and the answer came back stronger than the question: a CFTC-regulated exchange (Kalshi), an offshore crypto market (Polymarket Global), the de-vigged sportsbook consensus (~10.5 books/game), and — added this week — Polymarket’s separately regulated US entity all produce 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formally equivalent</w:t>
      </w:r>
      <w:r>
        <w:rPr>
          <w:rFonts w:ascii="Calibri" w:cs="Calibri" w:eastAsia="Calibri" w:hAnsi="Calibri"/>
          <w:sz w:val="19"/>
          <w:szCs w:val="19"/>
        </w:rPr>
        <w:t xml:space="preserve">, well-calibrated, coherent, unexploitable forecasts on the same games. The one big difference is cost: exchanges charge ~1% where books charge ~4.2%. I’m about two weeks ahead of the roadmap; every number now regenerates from raw data with one command (38 analyses, ~2 min, 0 failures), a full code review + data audit is behind me, and report drafting starts this week.</w:t>
      </w:r>
    </w:p>
    <w:p>
      <w:pPr>
        <w:pBdr>
          <w:bottom w:val="single" w:color="D9D2E9" w:sz="4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4E2A84"/>
          <w:sz w:val="21"/>
          <w:szCs w:val="21"/>
        </w:rPr>
        <w:t xml:space="preserve">What I’ve done</w:t>
      </w:r>
    </w:p>
    <w:p>
      <w:pPr>
        <w:spacing w:after="60" w:line="234" w:lineRule="auto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Data &amp; pipeline. </w:t>
      </w:r>
    </w:p>
    <w:p>
      <w:pPr>
        <w:pStyle w:val="ListParagraph"/>
        <w:numPr>
          <w:ilvl w:val="0"/>
          <w:numId w:val="2"/>
        </w:numPr>
        <w:spacing w:after="30" w:line="234" w:lineRule="auto"/>
      </w:pPr>
      <w:r>
        <w:rPr>
          <w:rFonts w:ascii="Calibri" w:cs="Calibri" w:eastAsia="Calibri" w:hAnsi="Calibri"/>
          <w:sz w:val="19"/>
          <w:szCs w:val="19"/>
        </w:rPr>
        <w:t xml:space="preserve">Built collectors for all sources: 9,482-game ESPN registry (7 leagues, May 2025–Jul 2026); Kalshi closing prices for 9,186 games (order-book mids; trade-reconstruction beyond the 60-day API retention); Polymarket CLOB prices for 5,563; book consensus for 5,151. Clean three-way joint set: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n = 5,328</w:t>
      </w:r>
      <w:r>
        <w:rPr>
          <w:rFonts w:ascii="Calibri" w:cs="Calibri" w:eastAsia="Calibri" w:hAnsi="Calibri"/>
          <w:sz w:val="19"/>
          <w:szCs w:val="19"/>
        </w:rPr>
        <w:t xml:space="preserve">; four-way (with Polymarket US public tape): n = 2,639.</w:t>
      </w:r>
    </w:p>
    <w:p>
      <w:pPr>
        <w:pStyle w:val="ListParagraph"/>
        <w:numPr>
          <w:ilvl w:val="0"/>
          <w:numId w:val="2"/>
        </w:numPr>
        <w:spacing w:after="30" w:line="234" w:lineRule="auto"/>
      </w:pPr>
      <w:r>
        <w:rPr>
          <w:rFonts w:ascii="Calibri" w:cs="Calibri" w:eastAsia="Calibri" w:hAnsi="Calibri"/>
          <w:sz w:val="19"/>
          <w:szCs w:val="19"/>
        </w:rPr>
        <w:t xml:space="preserve">Depth layers: 28,940 Kalshi alternate-spread contracts, 107,100 book alternate-line points, 710K per-fill trades, 7-horizon price paths on ~8,000 games, T−24h “opening” book consensus (3,461 games), plus a live 15-min VPS collector (now with order-book depth) and a World Cup 3-way case study.</w:t>
      </w:r>
    </w:p>
    <w:p>
      <w:pPr>
        <w:pStyle w:val="ListParagraph"/>
        <w:numPr>
          <w:ilvl w:val="0"/>
          <w:numId w:val="2"/>
        </w:numPr>
        <w:spacing w:after="30" w:line="234" w:lineRule="auto"/>
      </w:pPr>
      <w:r>
        <w:rPr>
          <w:rFonts w:ascii="Calibri" w:cs="Calibri" w:eastAsia="Calibri" w:hAnsi="Calibri"/>
          <w:sz w:val="19"/>
          <w:szCs w:val="19"/>
        </w:rPr>
        <w:t xml:space="preserve">Rigor infrastructure: a 48-check data-quality gate plus a deep coherence audit (look-ahead, side-flip, clock, misattachment checks) run as the first modules of the suite — currently 72 checks, 0 warnings; a regenerated FDR inventory (12 of 13 positive claims survive BH at q=0.05).</w:t>
      </w:r>
    </w:p>
    <w:p>
      <w:pPr>
        <w:spacing w:after="60" w:line="234" w:lineRule="auto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Headline results. </w:t>
      </w:r>
    </w:p>
    <w:p>
      <w:pPr>
        <w:pStyle w:val="ListParagraph"/>
        <w:numPr>
          <w:ilvl w:val="0"/>
          <w:numId w:val="2"/>
        </w:numPr>
        <w:spacing w:after="30" w:line="234" w:lineRule="auto"/>
      </w:pPr>
      <w:r>
        <w:rPr>
          <w:rFonts w:ascii="Calibri" w:cs="Calibri" w:eastAsia="Calibri" w:hAnsi="Calibri"/>
          <w:sz w:val="19"/>
          <w:szCs w:val="19"/>
        </w:rPr>
        <w:t xml:space="preserve">A statistical dead heat: Briers 0.2196 / 0.2199 / 0.2196 (K/P/book), all pairwise date-clustered DM tests n.s., and TOST-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equivalent</w:t>
      </w:r>
      <w:r>
        <w:rPr>
          <w:rFonts w:ascii="Calibri" w:cs="Calibri" w:eastAsia="Calibri" w:hAnsi="Calibri"/>
          <w:sz w:val="19"/>
          <w:szCs w:val="19"/>
        </w:rPr>
        <w:t xml:space="preserve"> at δ = 0.001 Brier — pooled, within each big league, at every horizon in the final day, and under every proper scoring function (Murphy diagrams, sup-t bands). Sharpness is equal too; no favorite–longshot bias anywhere; ladders 97.3% monotone; no strategy clears costs.</w:t>
      </w:r>
    </w:p>
    <w:p>
      <w:pPr>
        <w:pStyle w:val="ListParagraph"/>
        <w:numPr>
          <w:ilvl w:val="0"/>
          <w:numId w:val="2"/>
        </w:numPr>
        <w:spacing w:after="30" w:line="234" w:lineRule="auto"/>
      </w:pPr>
      <w:r>
        <w:rPr>
          <w:rFonts w:ascii="Calibri" w:cs="Calibri" w:eastAsia="Calibri" w:hAnsi="Calibri"/>
          <w:sz w:val="19"/>
          <w:szCs w:val="19"/>
        </w:rPr>
        <w:t xml:space="preserve">The fourth leg (this week): Polymarket US — a legally disjoint, US-only pool — is TOST-equivalent to each of the other three, and its prices sit a median 0.50pt from Global’s even though nobody can arbitrage the two: a law of one price across segregated pools, i.e., shared information, not shared traders.</w:t>
      </w:r>
    </w:p>
    <w:p>
      <w:pPr>
        <w:pStyle w:val="ListParagraph"/>
        <w:numPr>
          <w:ilvl w:val="0"/>
          <w:numId w:val="2"/>
        </w:numPr>
        <w:spacing w:after="30" w:line="234" w:lineRule="auto"/>
      </w:pPr>
      <w:r>
        <w:rPr>
          <w:rFonts w:ascii="Calibri" w:cs="Calibri" w:eastAsia="Calibri" w:hAnsi="Calibri"/>
          <w:sz w:val="19"/>
          <w:szCs w:val="19"/>
        </w:rPr>
        <w:t xml:space="preserve">Markets beat a walk-forward Elo model built from public win/loss records by ~14×10⁻³ Brier (z≈7.4) while differing from each other by ≤0.5×10⁻³ — equally good, and equally better than public statistics.</w:t>
      </w:r>
    </w:p>
    <w:p>
      <w:pPr>
        <w:pStyle w:val="ListParagraph"/>
        <w:numPr>
          <w:ilvl w:val="0"/>
          <w:numId w:val="2"/>
        </w:numPr>
        <w:spacing w:after="30" w:line="234" w:lineRule="auto"/>
      </w:pPr>
      <w:r>
        <w:rPr>
          <w:rFonts w:ascii="Calibri" w:cs="Calibri" w:eastAsia="Calibri" w:hAnsi="Calibri"/>
          <w:sz w:val="19"/>
          <w:szCs w:val="19"/>
        </w:rPr>
        <w:t xml:space="preserve">Mechanism results: the equivalence is built during the final day (books hold a small real lead at T−24h, p=0.020, closed by start); no venue leads at 15-min or 1-min resolution — big repricings are simultaneous; price discovery is maker-driven (aggressive flow carries no signal). Bürgi–Deng–Whelan’s platform-wide pathologies (−20% ROI, longshot cliff) vanish in sports — the one Kalshi corner with a professional benchmark.</w:t>
      </w:r>
    </w:p>
    <w:p>
      <w:pPr>
        <w:pStyle w:val="ListParagraph"/>
        <w:numPr>
          <w:ilvl w:val="0"/>
          <w:numId w:val="2"/>
        </w:numPr>
        <w:spacing w:after="30" w:line="234" w:lineRule="auto"/>
      </w:pPr>
      <w:r>
        <w:rPr>
          <w:rFonts w:ascii="Calibri" w:cs="Calibri" w:eastAsia="Calibri" w:hAnsi="Calibri"/>
          <w:sz w:val="19"/>
          <w:szCs w:val="19"/>
        </w:rPr>
        <w:t xml:space="preserve">One clean crack, contained: Kalshi’s thin MLB run-line ladders under-price small margins by +8.4pts where books price the same cell to +0.4 — but selling the mispriced side loses 2.9–4.5% net of fees. Biases persist only inside transaction-cost bands, the way books harbor biases inside the vig.</w:t>
      </w:r>
    </w:p>
    <w:p>
      <w:pPr>
        <w:pStyle w:val="ListParagraph"/>
        <w:numPr>
          <w:ilvl w:val="0"/>
          <w:numId w:val="2"/>
        </w:numPr>
        <w:spacing w:after="30" w:line="234" w:lineRule="auto"/>
      </w:pPr>
      <w:r>
        <w:rPr>
          <w:rFonts w:ascii="Calibri" w:cs="Calibri" w:eastAsia="Calibri" w:hAnsi="Calibri"/>
          <w:sz w:val="19"/>
          <w:szCs w:val="19"/>
        </w:rPr>
        <w:t xml:space="preserve">A natural experiment: Polymarket’s 2026-03-30 sports fee left accuracy untouched (DiD p=0.74) but cut relative taker volume ~41% at the fee date — fees moved quantity, not price quality.</w:t>
      </w:r>
    </w:p>
    <w:p>
      <w:pPr>
        <w:pBdr>
          <w:bottom w:val="single" w:color="D9D2E9" w:sz="4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4E2A84"/>
          <w:sz w:val="21"/>
          <w:szCs w:val="21"/>
        </w:rPr>
        <w:t xml:space="preserve">Issues I ran into (and what they taught me)</w:t>
      </w:r>
    </w:p>
    <w:p>
      <w:pPr>
        <w:pStyle w:val="ListParagraph"/>
        <w:numPr>
          <w:ilvl w:val="0"/>
          <w:numId w:val="2"/>
        </w:numPr>
        <w:spacing w:after="30" w:line="234" w:lineRule="auto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Side-assignment contamination. </w:t>
      </w:r>
      <w:r>
        <w:rPr>
          <w:rFonts w:ascii="Calibri" w:cs="Calibri" w:eastAsia="Calibri" w:hAnsi="Calibri"/>
          <w:sz w:val="19"/>
          <w:szCs w:val="19"/>
        </w:rPr>
        <w:t xml:space="preserve">An “impossible” backtest profit exposed ~350 games with mis-assigned sides (team-code alias collisions). Fixed with a ticker-order rule validated 99.6% against ESPN. The pre-fix data said “Kalshi significantly lags the books” (p=0.004); clean data says equivalence — the project’s best methods lesson, and it goes in the report.</w:t>
      </w:r>
    </w:p>
    <w:p>
      <w:pPr>
        <w:pStyle w:val="ListParagraph"/>
        <w:numPr>
          <w:ilvl w:val="0"/>
          <w:numId w:val="2"/>
        </w:numPr>
        <w:spacing w:after="30" w:line="234" w:lineRule="auto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Self-audit findings. </w:t>
      </w:r>
      <w:r>
        <w:rPr>
          <w:rFonts w:ascii="Calibri" w:cs="Calibri" w:eastAsia="Calibri" w:hAnsi="Calibri"/>
          <w:sz w:val="19"/>
          <w:szCs w:val="19"/>
        </w:rPr>
        <w:t xml:space="preserve">A full code/methodology review (Jul 30, 23 verified findings) caught real problems: a stale FDR inventory, a push-scoring bug, a tie-handling bias in the book PIT, an inverted sign label, silently dropped franchises (Clippers/Canadiens/Blues — name-matching bugs, ~290 games since re-collected). I retracted two claims outright (the MLB 45.0% run-line figure was a push-scoring artifact; an NBA encompassing sub-claim died as n grew) and downgraded the “Kalshi carries extra information” whisper to suggestive. Every headline conclusion survived every fix.</w:t>
      </w:r>
    </w:p>
    <w:p>
      <w:pPr>
        <w:pStyle w:val="ListParagraph"/>
        <w:numPr>
          <w:ilvl w:val="0"/>
          <w:numId w:val="2"/>
        </w:numPr>
        <w:spacing w:after="30" w:line="234" w:lineRule="auto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Perishable data. </w:t>
      </w:r>
      <w:r>
        <w:rPr>
          <w:rFonts w:ascii="Calibri" w:cs="Calibri" w:eastAsia="Calibri" w:hAnsi="Calibri"/>
          <w:sz w:val="19"/>
          <w:szCs w:val="19"/>
        </w:rPr>
        <w:t xml:space="preserve">Kalshi discards price history past ~60 days, so a biweekly re-harvest is load-bearing; API budgets (Odds API credits, OddPool’s 770 req/mo) forced dry-run cost estimates before every backfill; Polymarket’s volume archive has a March coverage gap that the fee analysis has to work around.</w:t>
      </w:r>
    </w:p>
    <w:p>
      <w:pPr>
        <w:pBdr>
          <w:bottom w:val="single" w:color="D9D2E9" w:sz="4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4E2A84"/>
          <w:sz w:val="21"/>
          <w:szCs w:val="21"/>
        </w:rPr>
        <w:t xml:space="preserve">Decisions I’ve made</w:t>
      </w:r>
    </w:p>
    <w:p>
      <w:pPr>
        <w:pStyle w:val="ListParagraph"/>
        <w:numPr>
          <w:ilvl w:val="0"/>
          <w:numId w:val="2"/>
        </w:numPr>
        <w:spacing w:after="30" w:line="234" w:lineRule="auto"/>
      </w:pPr>
      <w:r>
        <w:rPr>
          <w:rFonts w:ascii="Calibri" w:cs="Calibri" w:eastAsia="Calibri" w:hAnsi="Calibri"/>
          <w:sz w:val="19"/>
          <w:szCs w:val="19"/>
        </w:rPr>
        <w:t xml:space="preserve">Report every p-value from the conservative choice (date-clustered), use Shin de-vig for anything tail-sensitive (multiplicative de-vig provably distorts tails), and pre-commit to a BH-FDR discipline over positive claims.</w:t>
      </w:r>
    </w:p>
    <w:p>
      <w:pPr>
        <w:pStyle w:val="ListParagraph"/>
        <w:numPr>
          <w:ilvl w:val="0"/>
          <w:numId w:val="2"/>
        </w:numPr>
        <w:spacing w:after="30" w:line="234" w:lineRule="auto"/>
      </w:pPr>
      <w:r>
        <w:rPr>
          <w:rFonts w:ascii="Calibri" w:cs="Calibri" w:eastAsia="Calibri" w:hAnsi="Calibri"/>
          <w:sz w:val="19"/>
          <w:szCs w:val="19"/>
        </w:rPr>
        <w:t xml:space="preserve">Frame the paper around “gambling venue or forecasting institution?” — never “can you beat it?” Exploitability appears only as an institutional diagnostic. Working synthesis: sportsbook-like at the retail-taker surface, forecasting instrument in aggregate.</w:t>
      </w:r>
    </w:p>
    <w:p>
      <w:pPr>
        <w:pStyle w:val="ListParagraph"/>
        <w:numPr>
          <w:ilvl w:val="0"/>
          <w:numId w:val="2"/>
        </w:numPr>
        <w:spacing w:after="30" w:line="234" w:lineRule="auto"/>
      </w:pPr>
      <w:r>
        <w:rPr>
          <w:rFonts w:ascii="Calibri" w:cs="Calibri" w:eastAsia="Calibri" w:hAnsi="Calibri"/>
          <w:sz w:val="19"/>
          <w:szCs w:val="19"/>
        </w:rPr>
        <w:t xml:space="preserve">Treat Polymarket Global and Polymarket US as distinct institutions (different regulators, disjoint pools) — which turned a data-labeling question into the design’s cleanest mechanism test.</w:t>
      </w:r>
    </w:p>
    <w:p>
      <w:pPr>
        <w:pStyle w:val="ListParagraph"/>
        <w:numPr>
          <w:ilvl w:val="0"/>
          <w:numId w:val="2"/>
        </w:numPr>
        <w:spacing w:after="30" w:line="234" w:lineRule="auto"/>
      </w:pPr>
      <w:r>
        <w:rPr>
          <w:rFonts w:ascii="Calibri" w:cs="Calibri" w:eastAsia="Calibri" w:hAnsi="Calibri"/>
          <w:sz w:val="19"/>
          <w:szCs w:val="19"/>
        </w:rPr>
        <w:t xml:space="preserve">Retract loudly, in writing, with the reason — findings.md carries its own corrections log.</w:t>
      </w:r>
    </w:p>
    <w:p>
      <w:pPr>
        <w:pBdr>
          <w:bottom w:val="single" w:color="D9D2E9" w:sz="4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4E2A84"/>
          <w:sz w:val="21"/>
          <w:szCs w:val="21"/>
        </w:rPr>
        <w:t xml:space="preserve">Where I’d value your input</w:t>
      </w:r>
    </w:p>
    <w:p>
      <w:pPr>
        <w:pStyle w:val="ListParagraph"/>
        <w:numPr>
          <w:ilvl w:val="0"/>
          <w:numId w:val="2"/>
        </w:numPr>
        <w:spacing w:after="30" w:line="234" w:lineRule="auto"/>
      </w:pPr>
      <w:r>
        <w:rPr>
          <w:rFonts w:ascii="Calibri" w:cs="Calibri" w:eastAsia="Calibri" w:hAnsi="Calibri"/>
          <w:sz w:val="19"/>
          <w:szCs w:val="19"/>
        </w:rPr>
        <w:t xml:space="preserve">The seven methodology questions from the Jul 21 checkpoint are still open: two-family FDR/TOST policy; the δ=0.001 TOST margin convention; interval-randomized PIT; date-only vs two-way clustering; lead–lag formality (regressions + event study vs Hasbrouck shares); RPS for the 3-way case study; and sign-off on the organizing frame above. Happy to take rulings by email — any of them can change report text.</w:t>
      </w:r>
    </w:p>
    <w:p>
      <w:pPr>
        <w:pStyle w:val="ListParagraph"/>
        <w:numPr>
          <w:ilvl w:val="0"/>
          <w:numId w:val="2"/>
        </w:numPr>
        <w:spacing w:after="30" w:line="234" w:lineRule="auto"/>
      </w:pPr>
      <w:r>
        <w:rPr>
          <w:rFonts w:ascii="Calibri" w:cs="Calibri" w:eastAsia="Calibri" w:hAnsi="Calibri"/>
          <w:sz w:val="19"/>
          <w:szCs w:val="19"/>
        </w:rPr>
        <w:t xml:space="preserve">Logistics: is the target the grant report alone or also a venue (arXiv / Journal of Prediction Markets)? First full draft lands ~Aug 3 — what turnaround works for comments? And any concerns with making the repo public after secret rotation (book data shipped as code + instructions)?</w:t>
      </w:r>
    </w:p>
    <w:p>
      <w:pPr>
        <w:pBdr>
          <w:bottom w:val="single" w:color="D9D2E9" w:sz="4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4E2A84"/>
          <w:sz w:val="21"/>
          <w:szCs w:val="21"/>
        </w:rPr>
        <w:t xml:space="preserve">Plan to Aug 24</w:t>
      </w:r>
    </w:p>
    <w:p>
      <w:pPr>
        <w:spacing w:after="60" w:line="234" w:lineRule="auto"/>
      </w:pPr>
      <w:r>
        <w:rPr>
          <w:rFonts w:ascii="Calibri" w:cs="Calibri" w:eastAsia="Calibri" w:hAnsi="Calibri"/>
          <w:sz w:val="19"/>
          <w:szCs w:val="19"/>
        </w:rPr>
        <w:t xml:space="preserve">Weeks 6–7: write the report from the finished skeleton (every cited number pulled from regenerated logs — no hand-carried values), two review cycles if the first draft reaches you by ~Aug 8. Week 8: reproducibility packaging — secret rotation, README + data-availability note, public repo, archive, retire the VPS collector. Standing chores continue: biweekly Kalshi re-harvest (~Aug 4), weekly VPS sync, and a final lead–lag + first price-of-immediacy pass on the accumulated depth series mid-August.</w:t>
      </w:r>
    </w:p>
    <w:sectPr>
      <w:pgSz w:w="12240" w:h="15840" w:orient="portrait"/>
      <w:pgMar w:top="1008" w:right="1224" w:bottom="1008" w:left="122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288" w:hanging="144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2026-07-31T00:51:30.634Z</dcterms:created>
  <dcterms:modified xsi:type="dcterms:W3CDTF">2026-07-31T00:51:30.674Z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