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tab/>
        <w:t>Group Exercises</w:t>
      </w:r>
    </w:p>
    <w:p>
      <w:pPr>
        <w:pStyle w:val="Normal"/>
        <w:ind w:left="360" w:hanging="0"/>
        <w:rPr/>
      </w:pPr>
      <w:r>
        <w:rPr/>
        <w:t>Exercise – 1</w:t>
      </w:r>
    </w:p>
    <w:p>
      <w:pPr>
        <w:pStyle w:val="Normal"/>
        <w:ind w:left="360" w:hanging="0"/>
        <w:rPr/>
      </w:pPr>
      <w:r>
        <w:rPr/>
        <w:t>Read the TOI-OHOMAI Regulatory Framework 2017</w:t>
      </w:r>
    </w:p>
    <w:p>
      <w:pPr>
        <w:pStyle w:val="ListParagraph"/>
        <w:numPr>
          <w:ilvl w:val="0"/>
          <w:numId w:val="1"/>
        </w:numPr>
        <w:rPr/>
      </w:pPr>
      <w:r>
        <w:rPr/>
        <w:t>List the names of New Zealand Government Acts mentioned in the TOI-OHOMAI Regulatory Framework.</w:t>
      </w:r>
    </w:p>
    <w:p>
      <w:pPr>
        <w:pStyle w:val="ListParagraph"/>
        <w:numPr>
          <w:ilvl w:val="0"/>
          <w:numId w:val="0"/>
        </w:numPr>
        <w:ind w:left="2160" w:hanging="0"/>
        <w:rPr/>
      </w:pPr>
      <w:r>
        <w:rPr/>
        <w:t>Education act 1989 and ammendments</w:t>
      </w:r>
    </w:p>
    <w:p>
      <w:pPr>
        <w:pStyle w:val="ListParagraph"/>
        <w:numPr>
          <w:ilvl w:val="0"/>
          <w:numId w:val="0"/>
        </w:numPr>
        <w:ind w:left="2160" w:hanging="0"/>
        <w:rPr/>
      </w:pPr>
      <w:r>
        <w:rPr/>
        <w:t>Copyright Act 1994</w:t>
      </w:r>
    </w:p>
    <w:p>
      <w:pPr>
        <w:pStyle w:val="ListParagraph"/>
        <w:numPr>
          <w:ilvl w:val="0"/>
          <w:numId w:val="0"/>
        </w:numPr>
        <w:ind w:left="2160" w:hanging="0"/>
        <w:rPr/>
      </w:pPr>
      <w:r>
        <w:rPr/>
        <w:t>Ammendment Act 2011</w:t>
      </w:r>
    </w:p>
    <w:p>
      <w:pPr>
        <w:pStyle w:val="ListParagraph"/>
        <w:numPr>
          <w:ilvl w:val="0"/>
          <w:numId w:val="0"/>
        </w:numPr>
        <w:ind w:left="2160" w:hanging="0"/>
        <w:rPr/>
      </w:pPr>
      <w:r>
        <w:rPr/>
        <w:t>Employment Relation Act 2000</w:t>
      </w:r>
    </w:p>
    <w:p>
      <w:pPr>
        <w:pStyle w:val="ListParagraph"/>
        <w:numPr>
          <w:ilvl w:val="0"/>
          <w:numId w:val="0"/>
        </w:numPr>
        <w:ind w:left="2160" w:hanging="0"/>
        <w:rPr/>
      </w:pPr>
      <w:r>
        <w:rPr/>
        <w:t>State Sector Act 1988</w:t>
      </w:r>
    </w:p>
    <w:p>
      <w:pPr>
        <w:pStyle w:val="ListParagraph"/>
        <w:numPr>
          <w:ilvl w:val="0"/>
          <w:numId w:val="0"/>
        </w:numPr>
        <w:ind w:left="2160" w:hanging="0"/>
        <w:rPr/>
      </w:pPr>
      <w:r>
        <w:rPr/>
        <w:t>Public Act 2000</w:t>
      </w:r>
    </w:p>
    <w:p>
      <w:pPr>
        <w:pStyle w:val="ListParagraph"/>
        <w:numPr>
          <w:ilvl w:val="0"/>
          <w:numId w:val="0"/>
        </w:numPr>
        <w:ind w:left="2160" w:hanging="0"/>
        <w:rPr/>
      </w:pPr>
      <w:r>
        <w:rPr/>
        <w:t>Health and Safety Act 2000</w:t>
      </w:r>
    </w:p>
    <w:p>
      <w:pPr>
        <w:pStyle w:val="ListParagraph"/>
        <w:numPr>
          <w:ilvl w:val="0"/>
          <w:numId w:val="0"/>
        </w:numPr>
        <w:ind w:left="2160" w:hanging="0"/>
        <w:rPr/>
      </w:pPr>
      <w:r>
        <w:rPr/>
        <w:t>Human Rights Act 1993</w:t>
      </w:r>
    </w:p>
    <w:p>
      <w:pPr>
        <w:pStyle w:val="ListParagraph"/>
        <w:numPr>
          <w:ilvl w:val="0"/>
          <w:numId w:val="0"/>
        </w:numPr>
        <w:ind w:left="2160" w:hanging="0"/>
        <w:rPr/>
      </w:pPr>
      <w:r>
        <w:rPr/>
        <w:t>Privacy Act 1993</w:t>
      </w:r>
    </w:p>
    <w:p>
      <w:pPr>
        <w:pStyle w:val="ListParagraph"/>
        <w:numPr>
          <w:ilvl w:val="0"/>
          <w:numId w:val="0"/>
        </w:numPr>
        <w:ind w:left="2160" w:hanging="0"/>
        <w:rPr/>
      </w:pPr>
      <w:r>
        <w:rPr/>
        <w:t>Classification Act 1993</w:t>
      </w:r>
    </w:p>
    <w:p>
      <w:pPr>
        <w:pStyle w:val="ListParagraph"/>
        <w:numPr>
          <w:ilvl w:val="0"/>
          <w:numId w:val="0"/>
        </w:numPr>
        <w:ind w:left="2160" w:hanging="0"/>
        <w:rPr/>
      </w:pPr>
      <w:r>
        <w:rPr/>
        <w:t>Health and Safety Act 2015</w:t>
      </w:r>
    </w:p>
    <w:p>
      <w:pPr>
        <w:pStyle w:val="ListParagraph"/>
        <w:numPr>
          <w:ilvl w:val="0"/>
          <w:numId w:val="0"/>
        </w:numPr>
        <w:ind w:left="2160" w:hanging="0"/>
        <w:rPr/>
      </w:pPr>
      <w:r>
        <w:rPr/>
        <w:t>Industry Training Act 1992</w:t>
      </w:r>
    </w:p>
    <w:p>
      <w:pPr>
        <w:pStyle w:val="ListParagraph"/>
        <w:numPr>
          <w:ilvl w:val="0"/>
          <w:numId w:val="0"/>
        </w:numPr>
        <w:ind w:left="2160" w:hanging="0"/>
        <w:rPr/>
      </w:pPr>
      <w:r>
        <w:rPr/>
        <w:t>Films Videos Publications Classifications Act 1993</w:t>
      </w:r>
    </w:p>
    <w:p>
      <w:pPr>
        <w:pStyle w:val="ListParagraph"/>
        <w:numPr>
          <w:ilvl w:val="0"/>
          <w:numId w:val="0"/>
        </w:numPr>
        <w:ind w:left="4320" w:hanging="0"/>
        <w:rPr/>
      </w:pPr>
      <w:r>
        <w:rPr/>
      </w:r>
    </w:p>
    <w:p>
      <w:pPr>
        <w:pStyle w:val="ListParagraph"/>
        <w:numPr>
          <w:ilvl w:val="0"/>
          <w:numId w:val="0"/>
        </w:numPr>
        <w:ind w:left="720" w:hanging="0"/>
        <w:rPr/>
      </w:pPr>
      <w:r>
        <w:rPr/>
      </w:r>
    </w:p>
    <w:p>
      <w:pPr>
        <w:pStyle w:val="ListParagraph"/>
        <w:numPr>
          <w:ilvl w:val="0"/>
          <w:numId w:val="1"/>
        </w:numPr>
        <w:rPr/>
      </w:pPr>
      <w:r>
        <w:rPr/>
        <w:t>Discuss the reasons of referencing and citing such Acts in this document.</w:t>
      </w:r>
    </w:p>
    <w:p>
      <w:pPr>
        <w:pStyle w:val="ListParagraph"/>
        <w:ind w:left="720" w:hanging="0"/>
        <w:rPr/>
      </w:pPr>
      <w:r>
        <w:rPr/>
        <w:tab/>
      </w:r>
    </w:p>
    <w:p>
      <w:pPr>
        <w:pStyle w:val="ListParagraph"/>
        <w:ind w:left="720" w:hanging="0"/>
        <w:rPr/>
      </w:pPr>
      <w:r>
        <w:rPr/>
        <w:t>To be explicit about all of the regulatory frameworks/legislation being followed</w:t>
      </w:r>
    </w:p>
    <w:p>
      <w:pPr>
        <w:pStyle w:val="ListParagraph"/>
        <w:ind w:left="720" w:hanging="0"/>
        <w:rPr/>
      </w:pPr>
      <w:r>
        <w:rPr/>
        <w:t>So people can easily lookup what particular regulations need to be followed</w:t>
      </w:r>
    </w:p>
    <w:p>
      <w:pPr>
        <w:pStyle w:val="ListParagraph"/>
        <w:ind w:left="720" w:hanging="0"/>
        <w:rPr/>
      </w:pPr>
      <w:r>
        <w:rPr/>
        <w:tab/>
      </w:r>
    </w:p>
    <w:p>
      <w:pPr>
        <w:pStyle w:val="ListParagraph"/>
        <w:ind w:left="720" w:hanging="0"/>
        <w:rPr/>
      </w:pPr>
      <w:r>
        <w:rPr/>
        <w:tab/>
      </w:r>
    </w:p>
    <w:p>
      <w:pPr>
        <w:pStyle w:val="ListParagraph"/>
        <w:ind w:left="720" w:hanging="0"/>
        <w:rPr/>
      </w:pPr>
      <w:r>
        <w:rPr/>
      </w:r>
    </w:p>
    <w:p>
      <w:pPr>
        <w:pStyle w:val="ListParagraph"/>
        <w:numPr>
          <w:ilvl w:val="0"/>
          <w:numId w:val="1"/>
        </w:numPr>
        <w:rPr/>
      </w:pPr>
      <w:r>
        <w:rPr/>
        <w:t>Read the last sentence on the page 37 with regard to the Health and Safety Act and discuss the staff members’ obligation in this regard.</w:t>
      </w:r>
    </w:p>
    <w:p>
      <w:pPr>
        <w:pStyle w:val="ListParagraph"/>
        <w:rPr/>
      </w:pPr>
      <w:r>
        <w:rPr/>
      </w:r>
    </w:p>
    <w:p>
      <w:pPr>
        <w:pStyle w:val="ListParagraph"/>
        <w:rPr/>
      </w:pPr>
      <w:r>
        <w:rPr/>
        <w:t>If a staff member sees a hazard and does not either remedy that hazard or report it to management, then if that staff memeber or a studen is injured, that staff member is responsible</w:t>
      </w:r>
    </w:p>
    <w:p>
      <w:pPr>
        <w:pStyle w:val="ListParagraph"/>
        <w:rPr/>
      </w:pPr>
      <w:r>
        <w:rPr/>
      </w:r>
    </w:p>
    <w:p>
      <w:pPr>
        <w:pStyle w:val="ListParagraph"/>
        <w:numPr>
          <w:ilvl w:val="0"/>
          <w:numId w:val="1"/>
        </w:numPr>
        <w:rPr/>
      </w:pPr>
      <w:r>
        <w:rPr/>
        <w:t xml:space="preserve">On page 36, Read the sentence “Infringe copyright regulations, in terms of the Copyright Act (1994) and the Copyright (Infringing File Sharing) Amendment Act 2011, or use computing equipment in any way </w:t>
        <w:tab/>
        <w:t xml:space="preserve"> to the lawful and efficient utilisation of computing resources by the Polytechnic.” Discuss and find out the copy right regulations in New Zealand in the </w:t>
      </w:r>
      <w:r>
        <w:rPr>
          <w:rFonts w:cs="ArialMT" w:ascii="ArialMT" w:hAnsi="ArialMT"/>
          <w:sz w:val="21"/>
          <w:szCs w:val="21"/>
        </w:rPr>
        <w:t>C</w:t>
      </w:r>
      <w:bookmarkStart w:id="0" w:name="_GoBack"/>
      <w:bookmarkEnd w:id="0"/>
      <w:r>
        <w:rPr>
          <w:rFonts w:cs="ArialMT" w:ascii="ArialMT" w:hAnsi="ArialMT"/>
          <w:sz w:val="21"/>
          <w:szCs w:val="21"/>
        </w:rPr>
        <w:t xml:space="preserve">opyright Act (1994) and the </w:t>
      </w:r>
      <w:r>
        <w:rPr/>
        <w:t>Copyright (Infringing File Sharing) Amendment Act 2011.</w:t>
      </w:r>
    </w:p>
    <w:p>
      <w:pPr>
        <w:pStyle w:val="ListParagraph"/>
        <w:rPr/>
      </w:pPr>
      <w:r>
        <w:rPr/>
      </w:r>
    </w:p>
    <w:p>
      <w:pPr>
        <w:pStyle w:val="ListParagraph"/>
        <w:rPr/>
      </w:pPr>
      <w:r>
        <w:rPr/>
        <w:t>Exercise – 2</w:t>
      </w:r>
    </w:p>
    <w:p>
      <w:pPr>
        <w:pStyle w:val="ListParagraph"/>
        <w:rPr/>
      </w:pPr>
      <w:r>
        <w:rPr/>
        <w:t>Read the sample TOI-OHOMAI policies and discuss the purpose of having such policies.</w:t>
      </w:r>
    </w:p>
    <w:p>
      <w:pPr>
        <w:pStyle w:val="ListParagraph"/>
        <w:rPr/>
      </w:pPr>
      <w:r>
        <w:rPr/>
      </w:r>
    </w:p>
    <w:p>
      <w:pPr>
        <w:pStyle w:val="ListParagraph"/>
        <w:rPr/>
      </w:pPr>
      <w:r>
        <w:rPr/>
        <w:t>Exercise -3</w:t>
      </w:r>
    </w:p>
    <w:p>
      <w:pPr>
        <w:pStyle w:val="ListParagraph"/>
        <w:rPr/>
      </w:pPr>
      <w:r>
        <w:rPr/>
        <w:t>Visit WORKSAFE website and answer the following questions.</w:t>
      </w:r>
    </w:p>
    <w:p>
      <w:pPr>
        <w:pStyle w:val="ListParagraph"/>
        <w:rPr/>
      </w:pPr>
      <w:r>
        <w:rPr/>
        <w:t>What is worksafe?</w:t>
      </w:r>
    </w:p>
    <w:p>
      <w:pPr>
        <w:pStyle w:val="ListParagraph"/>
        <w:rPr/>
      </w:pPr>
      <w:r>
        <w:rPr/>
        <w:t>What are the functions of worksafe?</w:t>
      </w:r>
    </w:p>
    <w:p>
      <w:pPr>
        <w:pStyle w:val="ListParagraph"/>
        <w:rPr/>
      </w:pPr>
      <w:r>
        <w:rPr/>
        <w:t>List the possible Hazards/Risks in a work place?</w:t>
      </w:r>
    </w:p>
    <w:p>
      <w:pPr>
        <w:pStyle w:val="ListParagraph"/>
        <w:rPr/>
      </w:pPr>
      <w:hyperlink r:id="rId2">
        <w:r>
          <w:rPr>
            <w:rStyle w:val="InternetLink"/>
          </w:rPr>
          <w:t>http://www.worksafe.govt.nz</w:t>
        </w:r>
      </w:hyperlink>
    </w:p>
    <w:p>
      <w:pPr>
        <w:pStyle w:val="ListParagraph"/>
        <w:rPr/>
      </w:pPr>
      <w:r>
        <w:rPr/>
      </w:r>
    </w:p>
    <w:p>
      <w:pPr>
        <w:pStyle w:val="ListParagraph"/>
        <w:spacing w:before="0" w:after="160"/>
        <w:ind w:left="720" w:hanging="0"/>
        <w:contextualSpacing/>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0" distR="0">
          <wp:extent cx="6632575" cy="46228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a:stretch>
                    <a:fillRect/>
                  </a:stretch>
                </pic:blipFill>
                <pic:spPr bwMode="auto">
                  <a:xfrm>
                    <a:off x="0" y="0"/>
                    <a:ext cx="6632575" cy="4622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3" wp14:anchorId="2CD9B356">
              <wp:simplePos x="0" y="0"/>
              <wp:positionH relativeFrom="column">
                <wp:posOffset>-939165</wp:posOffset>
              </wp:positionH>
              <wp:positionV relativeFrom="paragraph">
                <wp:posOffset>-486410</wp:posOffset>
              </wp:positionV>
              <wp:extent cx="7626985" cy="956945"/>
              <wp:effectExtent l="0" t="0" r="13970" b="15875"/>
              <wp:wrapNone/>
              <wp:docPr id="1" name="Rectangle 7"/>
              <a:graphic xmlns:a="http://schemas.openxmlformats.org/drawingml/2006/main">
                <a:graphicData uri="http://schemas.microsoft.com/office/word/2010/wordprocessingShape">
                  <wps:wsp>
                    <wps:cNvSpPr/>
                    <wps:spPr>
                      <a:xfrm>
                        <a:off x="0" y="0"/>
                        <a:ext cx="7626240" cy="956160"/>
                      </a:xfrm>
                      <a:prstGeom prst="rect">
                        <a:avLst/>
                      </a:prstGeom>
                      <a:solidFill>
                        <a:srgbClr val="000000"/>
                      </a:solidFill>
                      <a:ln w="12600">
                        <a:solidFill>
                          <a:srgbClr val="000000"/>
                        </a:solidFill>
                        <a:miter/>
                      </a:ln>
                    </wps:spPr>
                    <wps:style>
                      <a:lnRef idx="0"/>
                      <a:fillRef idx="0"/>
                      <a:effectRef idx="0"/>
                      <a:fontRef idx="minor"/>
                    </wps:style>
                    <wps:txbx>
                      <w:txbxContent>
                        <w:p>
                          <w:pPr>
                            <w:pStyle w:val="NormalWeb"/>
                            <w:spacing w:beforeAutospacing="0" w:before="0" w:afterAutospacing="0" w:after="0"/>
                            <w:jc w:val="center"/>
                            <w:rPr/>
                          </w:pPr>
                          <w:r>
                            <w:rPr>
                              <w:rFonts w:eastAsia="+mn-ea" w:cs="+mn-cs" w:ascii="Calibri" w:hAnsi="Calibri"/>
                              <w:color w:val="FFFFFF"/>
                              <w:sz w:val="48"/>
                              <w:szCs w:val="48"/>
                            </w:rPr>
                            <w:t>COMP.5203 Professional Practice</w:t>
                          </w:r>
                        </w:p>
                        <w:p>
                          <w:pPr>
                            <w:pStyle w:val="NormalWeb"/>
                            <w:spacing w:beforeAutospacing="0" w:before="0" w:afterAutospacing="0" w:after="0"/>
                            <w:jc w:val="center"/>
                            <w:rPr/>
                          </w:pPr>
                          <w:r>
                            <w:rPr>
                              <w:rFonts w:eastAsia="+mn-ea" w:cs="+mn-cs" w:ascii="Calibri" w:hAnsi="Calibri"/>
                              <w:color w:val="FFFFFF"/>
                              <w:sz w:val="48"/>
                              <w:szCs w:val="48"/>
                            </w:rPr>
                            <w:t>Week2 – Class Room Exercise</w:t>
                          </w:r>
                        </w:p>
                      </w:txbxContent>
                    </wps:txbx>
                    <wps:bodyPr anchor="ctr">
                      <a:noAutofit/>
                    </wps:bodyPr>
                  </wps:wsp>
                </a:graphicData>
              </a:graphic>
            </wp:anchor>
          </w:drawing>
        </mc:Choice>
        <mc:Fallback>
          <w:pict>
            <v:rect id="shape_0" ID="Rectangle 7" fillcolor="black" stroked="t" style="position:absolute;margin-left:-73.95pt;margin-top:-38.3pt;width:600.45pt;height:75.25pt" wp14:anchorId="2CD9B356">
              <w10:wrap type="square"/>
              <v:fill o:detectmouseclick="t" type="solid" color2="white"/>
              <v:stroke color="black" weight="12600" joinstyle="miter" endcap="flat"/>
              <v:textbox>
                <w:txbxContent>
                  <w:p>
                    <w:pPr>
                      <w:pStyle w:val="NormalWeb"/>
                      <w:spacing w:beforeAutospacing="0" w:before="0" w:afterAutospacing="0" w:after="0"/>
                      <w:jc w:val="center"/>
                      <w:rPr/>
                    </w:pPr>
                    <w:r>
                      <w:rPr>
                        <w:rFonts w:eastAsia="+mn-ea" w:cs="+mn-cs" w:ascii="Calibri" w:hAnsi="Calibri"/>
                        <w:color w:val="FFFFFF"/>
                        <w:sz w:val="48"/>
                        <w:szCs w:val="48"/>
                      </w:rPr>
                      <w:t>COMP.5203 Professional Practice</w:t>
                    </w:r>
                  </w:p>
                  <w:p>
                    <w:pPr>
                      <w:pStyle w:val="NormalWeb"/>
                      <w:spacing w:beforeAutospacing="0" w:before="0" w:afterAutospacing="0" w:after="0"/>
                      <w:jc w:val="center"/>
                      <w:rPr/>
                    </w:pPr>
                    <w:r>
                      <w:rPr>
                        <w:rFonts w:eastAsia="+mn-ea" w:cs="+mn-cs" w:ascii="Calibri" w:hAnsi="Calibri"/>
                        <w:color w:val="FFFFFF"/>
                        <w:sz w:val="48"/>
                        <w:szCs w:val="48"/>
                      </w:rPr>
                      <w:t>Week2 – Class Room Exercise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NZ"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71f1"/>
    <w:rPr/>
  </w:style>
  <w:style w:type="character" w:styleId="FooterChar" w:customStyle="1">
    <w:name w:val="Footer Char"/>
    <w:basedOn w:val="DefaultParagraphFont"/>
    <w:link w:val="Footer"/>
    <w:uiPriority w:val="99"/>
    <w:qFormat/>
    <w:rsid w:val="005171f1"/>
    <w:rPr/>
  </w:style>
  <w:style w:type="character" w:styleId="InternetLink">
    <w:name w:val="Internet Link"/>
    <w:basedOn w:val="DefaultParagraphFont"/>
    <w:uiPriority w:val="99"/>
    <w:unhideWhenUsed/>
    <w:rsid w:val="00242193"/>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171f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171f1"/>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5171f1"/>
    <w:pPr>
      <w:spacing w:lineRule="auto" w:line="240" w:beforeAutospacing="1" w:afterAutospacing="1"/>
    </w:pPr>
    <w:rPr>
      <w:rFonts w:ascii="Times New Roman" w:hAnsi="Times New Roman" w:eastAsia="" w:cs="Times New Roman" w:eastAsiaTheme="minorEastAsia"/>
      <w:sz w:val="24"/>
      <w:szCs w:val="24"/>
      <w:lang w:eastAsia="en-NZ"/>
    </w:rPr>
  </w:style>
  <w:style w:type="paragraph" w:styleId="ListParagraph">
    <w:name w:val="List Paragraph"/>
    <w:basedOn w:val="Normal"/>
    <w:uiPriority w:val="34"/>
    <w:qFormat/>
    <w:rsid w:val="005171f1"/>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orksafe.govt.nz/"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4E47645.dotm</Template>
  <TotalTime>44</TotalTime>
  <Application>LibreOffice/5.1.6.2$Linux_X86_64 LibreOffice_project/10m0$Build-2</Application>
  <Pages>2</Pages>
  <Words>293</Words>
  <Characters>1575</Characters>
  <CharactersWithSpaces>1840</CharactersWithSpaces>
  <Paragraphs>37</Paragraphs>
  <Company>Waiariki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2017-02-16T21:11:00Z</dcterms:created>
  <dc:creator>Windows User</dc:creator>
  <dc:description/>
  <dc:language>en-NZ</dc:language>
  <cp:lastModifiedBy/>
  <dcterms:modified xsi:type="dcterms:W3CDTF">2017-07-20T13:15:12Z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Waiariki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