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4xodzep4aqy2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Isaías Jesús Gatica Lefian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a86e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color w:val="4a86e8"/>
          <w:sz w:val="30"/>
          <w:szCs w:val="30"/>
          <w:rtl w:val="0"/>
        </w:rPr>
        <w:t xml:space="preserve">Competencias de Especialidad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4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65"/>
        <w:gridCol w:w="1020"/>
        <w:gridCol w:w="930"/>
        <w:gridCol w:w="1050"/>
        <w:gridCol w:w="1185"/>
        <w:gridCol w:w="1245"/>
        <w:gridCol w:w="2550"/>
        <w:tblGridChange w:id="0">
          <w:tblGrid>
            <w:gridCol w:w="1965"/>
            <w:gridCol w:w="1020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8mckznyag5ty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con los requerimientos de la organización.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 de acuerdo con los requerimientos de la organización.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calidad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u optimizar procesos de negocio de acuerdo con las necesidades de la organización.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con los requerimientos de la organización.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4a86e8"/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Competencias Genéricas </w:t>
      </w:r>
    </w:p>
    <w:p w:rsidR="00000000" w:rsidDel="00000000" w:rsidP="00000000" w:rsidRDefault="00000000" w:rsidRPr="00000000" w14:paraId="0000008D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4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65"/>
        <w:gridCol w:w="1020"/>
        <w:gridCol w:w="945"/>
        <w:gridCol w:w="1035"/>
        <w:gridCol w:w="1185"/>
        <w:gridCol w:w="1245"/>
        <w:gridCol w:w="2550"/>
        <w:tblGridChange w:id="0">
          <w:tblGrid>
            <w:gridCol w:w="1965"/>
            <w:gridCol w:w="1020"/>
            <w:gridCol w:w="945"/>
            <w:gridCol w:w="1035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8mckznyag5ty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de la vida cotidiana, ámbito científico y mundo laboral, utilizando operatoria matemática básica, relaciones proporcionales y álgebra básica.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de la vida cotidiana, ámbito científico y mundo laboral, utilizando elementos de la estadística descriptiva. 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 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 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 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ind w:left="435" w:firstLine="0"/>
        <w:rPr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1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QAMxQmvobTnZpB2b+a3sLkNoVg==">CgMxLjAyDmguNHhvZHplcDRhcXkyMg5oLjhtY2t6bnlhZzV0eTIOaC44bWNrem55YWc1dHk4AHIhMUhoWGxwa01WRlBzZ1J3RlQzQXRzclZhTE5uZnlWb2l0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