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Oliveira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Vitor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Remover usuários da equipe.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do tipo concreto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pode remover contas da sua equipe.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Necessita utilizar uma conta criada para se autenticar no software.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5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precisa ser autenticado e o nível de acesso do mesmo que utilizará o Remover Usuários deve ser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Abrir Painel de Controle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Clica na opção “Usuários” no Menu Lateral da Tela Principal para abrir o Painel de Controle de Usuário.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  <w:tab/>
        <w:t xml:space="preserve">Ação para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82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Clica na opção ‘Remover’ para poder deletar um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“Nenhuma pós-condição identificada”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left="0" w:firstLine="72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usuário a ser deletado não pode ter nenhuma tarefa vinculada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Baixa, será utilizada somente casos de erro humano como por exemplo, a adição acidental de um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OWi/rjoT0p/90rBdr+rK259wDA==">AMUW2mUQrAgXjQGFrtNfse1/rE9PbO4QKhz3DzDLqNAX3ZOI7E7sRV/HDAluu8mcZTfKGuM9Zfn1W/w+FbxixnHHM0WG4r+iP3pkIoXqP0jOIaeyc9MfWd8=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