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 no caso de uso para padronização.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Gera um relatório das licenças controladas pelo sistema, o relatório é emitido em forma de pdf contendo todas as informações essenciais ao órgão regulamentador que emitiu 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Gerar relatório é um caso de uso concreto iniciado pelo ator administrador sempre que este quiser emitir o relatório das licenças que o sistema gerencia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Pede emissão do relatório das licenças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antes de realizar o caso de uso deve se Autentica no sistema a partir do caso de uso de Autenticação de usuário.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do usuário: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antes de gerar relatório efetuar o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Seleciona o objeto para emissão: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pode gerar o relatório de uma única licença, de todas as licenças e também de uma única condicionante. logo é necessário que o administrador especifique o objeto que irá emitir o relatório.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Gerar Relatório: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seleciona a opção de Gerar relatório do sistema e este recupera a licença ou todas as licenças  que estão cadastradas e a situação de suas condicionantes e retorna ao administrador um pdf contendo todas as informações das licenças ou da licença.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gera um relatório a partir do sistema, contendo todas as licenças do sistema que estão cadastradas.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A2.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gera um relatório a partir de uma condicionante, contendo toda as informações relacionada a ela.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irá gerar exceção caso o administrador tente gerar um relatório em um sistema ou estado de sistema sem licenças cadastradas ou sem um objeto alvo.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tenta gerar relatório.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não houver nenhuma licença cadastrada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alerta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Nenhuma pós-condição identificada. &lt;Não entendi esse campo&gt;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 requisito não funcional identificado. &lt;Não entendi esse campo&gt;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include que é chamado antes da execução normal do caso de uso para identificar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deixar claro o objeto alvo (licença, licenças, ou condicionante) e deve dizer o local que será salvo o pdf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estima-se que esse caso de uso só será utilizado uma vez por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 ou não definir tipos de relatórios ou especificar diferentes públicos alvos para o relatório.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(include) Autenticação de usuário.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C">
          <w:pPr>
            <w:widowControl w:val="0"/>
            <w:tabs>
              <w:tab w:val="center" w:pos="4320"/>
              <w:tab w:val="right" w:pos="8640"/>
            </w:tabs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9">
          <w:pPr>
            <w:widowControl w:val="0"/>
            <w:tabs>
              <w:tab w:val="center" w:pos="4320"/>
              <w:tab w:val="right" w:pos="8640"/>
            </w:tabs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FOJ/u9+SdcbwRiBTIqvW1r6tPw==">AMUW2mWNwa1E9BID6lfrs1K4pKYasCtoc+SKDXhgwCjHc0rTuUn57sQjFUqCwQ6TGITuhTfKx0mtI8ySyL14315x+lumIiQO1wxdk+96smEC7+okDV5ICTA=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