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3A89" w14:textId="77777777" w:rsidR="00E26F80" w:rsidRPr="00E26F80" w:rsidRDefault="00E26F80" w:rsidP="00E26F80">
      <w:pPr>
        <w:rPr>
          <w:rFonts w:ascii="Times New Roman" w:hAnsi="Times New Roman" w:cs="Times New Roman"/>
        </w:rPr>
      </w:pPr>
      <w:r w:rsidRPr="00E26F80">
        <w:rPr>
          <w:rFonts w:ascii="Times New Roman" w:hAnsi="Times New Roman" w:cs="Times New Roman"/>
        </w:rPr>
        <w:t>Dylan O’Ryan</w:t>
      </w:r>
    </w:p>
    <w:p w14:paraId="3D44600E" w14:textId="77777777" w:rsidR="00E26F80" w:rsidRPr="00E26F80" w:rsidRDefault="00E26F80" w:rsidP="00E26F80">
      <w:pPr>
        <w:rPr>
          <w:rFonts w:ascii="Times New Roman" w:hAnsi="Times New Roman" w:cs="Times New Roman"/>
        </w:rPr>
      </w:pPr>
      <w:r w:rsidRPr="00E26F80">
        <w:rPr>
          <w:rFonts w:ascii="Times New Roman" w:hAnsi="Times New Roman" w:cs="Times New Roman"/>
        </w:rPr>
        <w:t>ENVS 171</w:t>
      </w:r>
    </w:p>
    <w:p w14:paraId="27D22676" w14:textId="598788E5" w:rsidR="00E26F80" w:rsidRPr="00E26F80" w:rsidRDefault="00E26F80" w:rsidP="00E26F80">
      <w:pPr>
        <w:rPr>
          <w:rFonts w:ascii="Times New Roman" w:hAnsi="Times New Roman" w:cs="Times New Roman"/>
        </w:rPr>
      </w:pPr>
      <w:r w:rsidRPr="00E26F80">
        <w:rPr>
          <w:rFonts w:ascii="Times New Roman" w:hAnsi="Times New Roman" w:cs="Times New Roman"/>
        </w:rPr>
        <w:t>CWA Policy Paper</w:t>
      </w:r>
    </w:p>
    <w:p w14:paraId="3BC2C4B4" w14:textId="43F84DEC" w:rsidR="00DE53E7" w:rsidRPr="00302053" w:rsidRDefault="00DE53E7" w:rsidP="00EB678E">
      <w:pPr>
        <w:spacing w:before="180" w:after="180" w:line="480" w:lineRule="auto"/>
        <w:ind w:firstLine="720"/>
        <w:rPr>
          <w:rFonts w:ascii="Times New Roman" w:hAnsi="Times New Roman" w:cs="Times New Roman"/>
          <w:color w:val="000000" w:themeColor="text1"/>
        </w:rPr>
      </w:pPr>
      <w:r w:rsidRPr="00302053">
        <w:rPr>
          <w:rFonts w:ascii="Times New Roman" w:eastAsia="Times New Roman" w:hAnsi="Times New Roman" w:cs="Times New Roman"/>
          <w:color w:val="000000" w:themeColor="text1"/>
        </w:rPr>
        <w:t xml:space="preserve">The Clean Water Act, henceforth CWA, </w:t>
      </w:r>
      <w:r w:rsidR="00ED7109" w:rsidRPr="00302053">
        <w:rPr>
          <w:rFonts w:ascii="Times New Roman" w:eastAsia="Times New Roman" w:hAnsi="Times New Roman" w:cs="Times New Roman"/>
          <w:color w:val="000000" w:themeColor="text1"/>
        </w:rPr>
        <w:t xml:space="preserve">is a federal policy that aims at regulating the (surface) Waters of the United States (WOTUS). </w:t>
      </w:r>
      <w:r w:rsidR="00E26F80">
        <w:rPr>
          <w:rFonts w:ascii="Times New Roman" w:eastAsia="Times New Roman" w:hAnsi="Times New Roman" w:cs="Times New Roman"/>
          <w:color w:val="000000" w:themeColor="text1"/>
        </w:rPr>
        <w:t xml:space="preserve">WOTUS was termed in the Refuse Act of 1899, where this act established the U.S. Army Core of Engineers as regulators of the WOTUS. </w:t>
      </w:r>
      <w:r w:rsidR="00ED7109" w:rsidRPr="00302053">
        <w:rPr>
          <w:rFonts w:ascii="Times New Roman" w:eastAsia="Times New Roman" w:hAnsi="Times New Roman" w:cs="Times New Roman"/>
          <w:color w:val="000000" w:themeColor="text1"/>
        </w:rPr>
        <w:t>The first major U.S. law to address water pollution was the Federal Water Pollution Act of 1948 (P.L. 80-845), which provided “state and local governments with technical assistance funds to address water pollution problems, including research” (Copeland, 2016</w:t>
      </w:r>
      <w:r w:rsidR="00EB678E" w:rsidRPr="00302053">
        <w:rPr>
          <w:rFonts w:ascii="Times New Roman" w:eastAsia="Times New Roman" w:hAnsi="Times New Roman" w:cs="Times New Roman"/>
          <w:color w:val="000000" w:themeColor="text1"/>
        </w:rPr>
        <w:t>, pg. 2</w:t>
      </w:r>
      <w:r w:rsidR="00ED7109" w:rsidRPr="00302053">
        <w:rPr>
          <w:rFonts w:ascii="Times New Roman" w:eastAsia="Times New Roman" w:hAnsi="Times New Roman" w:cs="Times New Roman"/>
          <w:color w:val="000000" w:themeColor="text1"/>
        </w:rPr>
        <w:t xml:space="preserve">). Issues associated with the Federal Water Pollution Act of 1948 were commonly focused around the establishment, or lack thereof, of authority to regulate. Major amendments were established in 1972, with the Federal Water Pollution Control Act Amendments (P.L. 92-500), which </w:t>
      </w:r>
      <w:r w:rsidR="00EB678E" w:rsidRPr="00302053">
        <w:rPr>
          <w:rFonts w:ascii="Times New Roman" w:eastAsia="Times New Roman" w:hAnsi="Times New Roman" w:cs="Times New Roman"/>
          <w:color w:val="000000" w:themeColor="text1"/>
        </w:rPr>
        <w:t>laid the groundwork for the present-day CWA</w:t>
      </w:r>
      <w:r w:rsidR="00ED7109" w:rsidRPr="00302053">
        <w:rPr>
          <w:rFonts w:ascii="Times New Roman" w:eastAsia="Times New Roman" w:hAnsi="Times New Roman" w:cs="Times New Roman"/>
          <w:color w:val="000000" w:themeColor="text1"/>
        </w:rPr>
        <w:t>. “</w:t>
      </w:r>
      <w:r w:rsidR="00EB678E" w:rsidRPr="00302053">
        <w:rPr>
          <w:rFonts w:ascii="Times New Roman" w:eastAsia="Times New Roman" w:hAnsi="Times New Roman" w:cs="Times New Roman"/>
          <w:color w:val="000000" w:themeColor="text1"/>
        </w:rPr>
        <w:t>M</w:t>
      </w:r>
      <w:r w:rsidR="00ED7109" w:rsidRPr="00302053">
        <w:rPr>
          <w:rFonts w:ascii="Times New Roman" w:eastAsia="Times New Roman" w:hAnsi="Times New Roman" w:cs="Times New Roman"/>
          <w:color w:val="000000" w:themeColor="text1"/>
        </w:rPr>
        <w:t>ounting frustration over the pace of pollution cleanup efforts</w:t>
      </w:r>
      <w:r w:rsidR="00EB678E" w:rsidRPr="00302053">
        <w:rPr>
          <w:rFonts w:ascii="Times New Roman" w:eastAsia="Times New Roman" w:hAnsi="Times New Roman" w:cs="Times New Roman"/>
          <w:color w:val="000000" w:themeColor="text1"/>
        </w:rPr>
        <w:t>… along with increased public interest in environmental protection, set the stage for the 1972 amendments” (Copeland, 2016, pg. 2). The 1972 amendments declared a clear objective related to water quality and water resource management: “</w:t>
      </w:r>
      <w:r w:rsidR="00EB678E" w:rsidRPr="00302053">
        <w:rPr>
          <w:rFonts w:ascii="Times New Roman" w:hAnsi="Times New Roman" w:cs="Times New Roman"/>
          <w:color w:val="000000" w:themeColor="text1"/>
        </w:rPr>
        <w:t xml:space="preserve">restoration and maintenance of the chemical, physical, and biological integrity of the nation’s </w:t>
      </w:r>
      <w:r w:rsidR="00EB678E" w:rsidRPr="00302053">
        <w:rPr>
          <w:rFonts w:ascii="Times New Roman" w:hAnsi="Times New Roman" w:cs="Times New Roman"/>
          <w:color w:val="000000" w:themeColor="text1"/>
        </w:rPr>
        <w:t xml:space="preserve">waters” … where goals of zero discharge of pollutants by 1985 and water quality in the US that is to be both “fishable” and swimmable” by mid-1983 </w:t>
      </w:r>
      <w:r w:rsidR="00EB678E" w:rsidRPr="00302053">
        <w:rPr>
          <w:rFonts w:ascii="Times New Roman" w:eastAsia="Times New Roman" w:hAnsi="Times New Roman" w:cs="Times New Roman"/>
          <w:color w:val="000000" w:themeColor="text1"/>
        </w:rPr>
        <w:t>(Copeland, 2016, pg. 2).</w:t>
      </w:r>
    </w:p>
    <w:p w14:paraId="0AB1EA32" w14:textId="05BE9B1C" w:rsidR="004823CF" w:rsidRPr="00302053" w:rsidRDefault="00EB678E" w:rsidP="004823CF">
      <w:pPr>
        <w:spacing w:before="180" w:after="180" w:line="480" w:lineRule="auto"/>
        <w:ind w:firstLine="720"/>
        <w:rPr>
          <w:rFonts w:ascii="Times New Roman" w:eastAsia="Times New Roman" w:hAnsi="Times New Roman" w:cs="Times New Roman"/>
          <w:color w:val="000000" w:themeColor="text1"/>
        </w:rPr>
      </w:pPr>
      <w:r w:rsidRPr="00302053">
        <w:rPr>
          <w:rFonts w:ascii="Times New Roman" w:eastAsia="Times New Roman" w:hAnsi="Times New Roman" w:cs="Times New Roman"/>
          <w:color w:val="000000" w:themeColor="text1"/>
        </w:rPr>
        <w:t xml:space="preserve">Following the 1972 amendments there has been some major acts and amendments. The Clean Water Act of 1977 (P.L. 95-217), where the CWA namesake comes from, </w:t>
      </w:r>
      <w:r w:rsidR="004823CF" w:rsidRPr="00302053">
        <w:rPr>
          <w:rFonts w:ascii="Times New Roman" w:eastAsia="Times New Roman" w:hAnsi="Times New Roman" w:cs="Times New Roman"/>
          <w:color w:val="000000" w:themeColor="text1"/>
        </w:rPr>
        <w:t xml:space="preserve">authorized the U.S. Fish and Wildlife Service (FWS) to assist states in developing Best Management Practices (BMPs) and industries and municipalities were required to establish “best practicable control technology” (BPT) to clean up waste discharges (Copeland, 2016, pg. 2). In 1981, the Municipal </w:t>
      </w:r>
      <w:r w:rsidR="004823CF" w:rsidRPr="00302053">
        <w:rPr>
          <w:rFonts w:ascii="Times New Roman" w:eastAsia="Times New Roman" w:hAnsi="Times New Roman" w:cs="Times New Roman"/>
          <w:color w:val="000000" w:themeColor="text1"/>
        </w:rPr>
        <w:lastRenderedPageBreak/>
        <w:t xml:space="preserve">Wastewater Treatment Construction Grants Amendments (P.L. 97-117) were established. Further amendments were made in both 1987 and 2014, with the passage of the Water Quality Act of 1987 (P.L. 100-4) and the Water Resources Reform and Development Act of 2014 (P.L. 113-121). </w:t>
      </w:r>
    </w:p>
    <w:p w14:paraId="6680B3F0" w14:textId="4D04741B" w:rsidR="00302053" w:rsidRPr="00302053" w:rsidRDefault="004823CF" w:rsidP="00302053">
      <w:pPr>
        <w:spacing w:before="180" w:after="180" w:line="480" w:lineRule="auto"/>
        <w:ind w:firstLine="720"/>
        <w:rPr>
          <w:rFonts w:ascii="Times New Roman" w:eastAsia="Times New Roman" w:hAnsi="Times New Roman" w:cs="Times New Roman"/>
          <w:color w:val="000000" w:themeColor="text1"/>
        </w:rPr>
      </w:pPr>
      <w:r w:rsidRPr="00302053">
        <w:rPr>
          <w:rFonts w:ascii="Times New Roman" w:eastAsia="Times New Roman" w:hAnsi="Times New Roman" w:cs="Times New Roman"/>
          <w:color w:val="000000" w:themeColor="text1"/>
        </w:rPr>
        <w:t xml:space="preserve">The establishment of regulators is a commonly disputed key idea within the CWA package. However, the implementation of the CWA is fairly clear, where the </w:t>
      </w:r>
      <w:r w:rsidR="00E11873" w:rsidRPr="00302053">
        <w:rPr>
          <w:rFonts w:ascii="Times New Roman" w:eastAsia="Times New Roman" w:hAnsi="Times New Roman" w:cs="Times New Roman"/>
          <w:color w:val="000000" w:themeColor="text1"/>
        </w:rPr>
        <w:t>Environmental</w:t>
      </w:r>
      <w:r w:rsidRPr="00302053">
        <w:rPr>
          <w:rFonts w:ascii="Times New Roman" w:eastAsia="Times New Roman" w:hAnsi="Times New Roman" w:cs="Times New Roman"/>
          <w:color w:val="000000" w:themeColor="text1"/>
        </w:rPr>
        <w:t xml:space="preserve"> Protection Agency (EPA) and state governments </w:t>
      </w:r>
      <w:r w:rsidR="00E11873" w:rsidRPr="00302053">
        <w:rPr>
          <w:rFonts w:ascii="Times New Roman" w:eastAsia="Times New Roman" w:hAnsi="Times New Roman" w:cs="Times New Roman"/>
          <w:color w:val="000000" w:themeColor="text1"/>
        </w:rPr>
        <w:t xml:space="preserve">are responsible for the implementation and enforcement of the CWA (EPA, </w:t>
      </w:r>
      <w:r w:rsidR="00E11873" w:rsidRPr="00302053">
        <w:rPr>
          <w:rFonts w:ascii="Times New Roman" w:eastAsia="Times New Roman" w:hAnsi="Times New Roman" w:cs="Times New Roman"/>
          <w:i/>
          <w:iCs/>
          <w:color w:val="000000" w:themeColor="text1"/>
        </w:rPr>
        <w:t>Summary of</w:t>
      </w:r>
      <w:r w:rsidR="00E11873" w:rsidRPr="00302053">
        <w:rPr>
          <w:rFonts w:ascii="Times New Roman" w:eastAsia="Times New Roman" w:hAnsi="Times New Roman" w:cs="Times New Roman"/>
          <w:color w:val="000000" w:themeColor="text1"/>
        </w:rPr>
        <w:t xml:space="preserve">…). The EPA’s major regulation as part of the CWA is the National Pollutant Discharge </w:t>
      </w:r>
      <w:r w:rsidR="009D6E33" w:rsidRPr="00302053">
        <w:rPr>
          <w:rFonts w:ascii="Times New Roman" w:eastAsia="Times New Roman" w:hAnsi="Times New Roman" w:cs="Times New Roman"/>
          <w:color w:val="000000" w:themeColor="text1"/>
        </w:rPr>
        <w:t>Elimination</w:t>
      </w:r>
      <w:r w:rsidR="00E11873" w:rsidRPr="00302053">
        <w:rPr>
          <w:rFonts w:ascii="Times New Roman" w:eastAsia="Times New Roman" w:hAnsi="Times New Roman" w:cs="Times New Roman"/>
          <w:color w:val="000000" w:themeColor="text1"/>
        </w:rPr>
        <w:t xml:space="preserve"> System program (NPDES). This </w:t>
      </w:r>
      <w:r w:rsidR="009D6E33" w:rsidRPr="00302053">
        <w:rPr>
          <w:rFonts w:ascii="Times New Roman" w:eastAsia="Times New Roman" w:hAnsi="Times New Roman" w:cs="Times New Roman"/>
          <w:color w:val="000000" w:themeColor="text1"/>
        </w:rPr>
        <w:t xml:space="preserve">NPDES program “controls water pollution by regulating point sources that discharge pollutants into the [WOTUS]” (SWRCB, </w:t>
      </w:r>
      <w:r w:rsidR="009D6E33" w:rsidRPr="00302053">
        <w:rPr>
          <w:rFonts w:ascii="Times New Roman" w:eastAsia="Times New Roman" w:hAnsi="Times New Roman" w:cs="Times New Roman"/>
          <w:i/>
          <w:iCs/>
          <w:color w:val="000000" w:themeColor="text1"/>
        </w:rPr>
        <w:t>National Pollutant</w:t>
      </w:r>
      <w:r w:rsidR="009D6E33" w:rsidRPr="00302053">
        <w:rPr>
          <w:rFonts w:ascii="Times New Roman" w:eastAsia="Times New Roman" w:hAnsi="Times New Roman" w:cs="Times New Roman"/>
          <w:color w:val="000000" w:themeColor="text1"/>
        </w:rPr>
        <w:t>…). The EPA delegates</w:t>
      </w:r>
      <w:r w:rsidR="00302053" w:rsidRPr="00302053">
        <w:rPr>
          <w:rFonts w:ascii="Times New Roman" w:eastAsia="Times New Roman" w:hAnsi="Times New Roman" w:cs="Times New Roman"/>
          <w:color w:val="000000" w:themeColor="text1"/>
        </w:rPr>
        <w:t xml:space="preserve"> </w:t>
      </w:r>
      <w:r w:rsidR="009D6E33" w:rsidRPr="00302053">
        <w:rPr>
          <w:rFonts w:ascii="Times New Roman" w:eastAsia="Times New Roman" w:hAnsi="Times New Roman" w:cs="Times New Roman"/>
          <w:color w:val="000000" w:themeColor="text1"/>
        </w:rPr>
        <w:t xml:space="preserve">states to regulate the implementation of NPDES permits. </w:t>
      </w:r>
      <w:r w:rsidR="00302053" w:rsidRPr="00302053">
        <w:rPr>
          <w:rFonts w:ascii="Times New Roman" w:eastAsia="Times New Roman" w:hAnsi="Times New Roman" w:cs="Times New Roman"/>
          <w:color w:val="000000" w:themeColor="text1"/>
        </w:rPr>
        <w:t xml:space="preserve">In addition to NPDES, the EPA also conducts CWA Compliance Monitoring and Water Enforcement. For CWA Compliance Monitoring, the “EPA works with its federal, state, and tribal regulatory partners to monitor and ensure compliance with clean water laws and regulations in order to protect human health and the environment” (EPA, </w:t>
      </w:r>
      <w:r w:rsidR="00302053" w:rsidRPr="00302053">
        <w:rPr>
          <w:rFonts w:ascii="Times New Roman" w:eastAsia="Times New Roman" w:hAnsi="Times New Roman" w:cs="Times New Roman"/>
          <w:i/>
          <w:iCs/>
          <w:color w:val="000000" w:themeColor="text1"/>
        </w:rPr>
        <w:t>Clean Water Act (CWA) Compliance</w:t>
      </w:r>
      <w:r w:rsidR="00302053" w:rsidRPr="00302053">
        <w:rPr>
          <w:rFonts w:ascii="Times New Roman" w:eastAsia="Times New Roman" w:hAnsi="Times New Roman" w:cs="Times New Roman"/>
          <w:color w:val="000000" w:themeColor="text1"/>
        </w:rPr>
        <w:t xml:space="preserve">…). In addition to monitoring, the EPA enforces regulations, as part of the CWA), in wastewater management, pretreatment, stormwater pollution, animal waste from concentrated animal feeding operations (CAFOs), spills (oil and hazardous substances), and wetlands (EPA, </w:t>
      </w:r>
      <w:r w:rsidR="00302053" w:rsidRPr="00302053">
        <w:rPr>
          <w:rFonts w:ascii="Times New Roman" w:eastAsia="Times New Roman" w:hAnsi="Times New Roman" w:cs="Times New Roman"/>
          <w:i/>
          <w:iCs/>
          <w:color w:val="000000" w:themeColor="text1"/>
        </w:rPr>
        <w:t>Water Enforcement</w:t>
      </w:r>
      <w:r w:rsidR="00302053" w:rsidRPr="00302053">
        <w:rPr>
          <w:rFonts w:ascii="Times New Roman" w:eastAsia="Times New Roman" w:hAnsi="Times New Roman" w:cs="Times New Roman"/>
          <w:color w:val="000000" w:themeColor="text1"/>
        </w:rPr>
        <w:t xml:space="preserve">). </w:t>
      </w:r>
    </w:p>
    <w:p w14:paraId="3285BBBB" w14:textId="70B089E8" w:rsidR="00E11873" w:rsidRPr="00302053" w:rsidRDefault="00E11873" w:rsidP="00302053">
      <w:pPr>
        <w:spacing w:before="180" w:after="180" w:line="480" w:lineRule="auto"/>
        <w:ind w:firstLine="720"/>
        <w:rPr>
          <w:rFonts w:ascii="Times New Roman" w:eastAsia="Times New Roman" w:hAnsi="Times New Roman" w:cs="Times New Roman"/>
          <w:color w:val="000000" w:themeColor="text1"/>
        </w:rPr>
      </w:pPr>
      <w:r w:rsidRPr="00302053">
        <w:rPr>
          <w:rFonts w:ascii="Times New Roman" w:eastAsia="Times New Roman" w:hAnsi="Times New Roman" w:cs="Times New Roman"/>
          <w:color w:val="000000" w:themeColor="text1"/>
        </w:rPr>
        <w:t xml:space="preserve">In addition to federal-level regulations, the State Water Resources Control Board (SWRCB), and their nine Regional Water Quality Control Boards (Regional Water Boards), are responsible for implementation of the CWA in the State of California (SWRCB, 2014). </w:t>
      </w:r>
      <w:r w:rsidR="009D6E33" w:rsidRPr="00302053">
        <w:rPr>
          <w:rFonts w:ascii="Times New Roman" w:eastAsia="Times New Roman" w:hAnsi="Times New Roman" w:cs="Times New Roman"/>
          <w:color w:val="000000" w:themeColor="text1"/>
        </w:rPr>
        <w:t xml:space="preserve">There are also state-level acts that regulate water quality in California (CA). The Porter-Cologne Water </w:t>
      </w:r>
      <w:r w:rsidR="009D6E33" w:rsidRPr="00302053">
        <w:rPr>
          <w:rFonts w:ascii="Times New Roman" w:eastAsia="Times New Roman" w:hAnsi="Times New Roman" w:cs="Times New Roman"/>
          <w:color w:val="000000" w:themeColor="text1"/>
        </w:rPr>
        <w:lastRenderedPageBreak/>
        <w:t>Quality Control Act (Porter-Cologne Act) of 1969 is the “principal law governing water quality regulation in California” (</w:t>
      </w:r>
      <w:r w:rsidR="009D6E33" w:rsidRPr="00302053">
        <w:rPr>
          <w:rFonts w:ascii="Times New Roman" w:eastAsia="Times New Roman" w:hAnsi="Times New Roman" w:cs="Times New Roman"/>
          <w:color w:val="000000" w:themeColor="text1"/>
        </w:rPr>
        <w:t>SWRCB, 2014).</w:t>
      </w:r>
      <w:r w:rsidR="009D6E33" w:rsidRPr="00302053">
        <w:rPr>
          <w:rFonts w:ascii="Times New Roman" w:eastAsia="Times New Roman" w:hAnsi="Times New Roman" w:cs="Times New Roman"/>
          <w:color w:val="000000" w:themeColor="text1"/>
        </w:rPr>
        <w:t xml:space="preserve"> The Porter-Cologne Act established a comprehensive program to protect water quality and uses of water, where it applies to surface waters, wetlands, and groundwater for both point and nonpoint pollution sources (</w:t>
      </w:r>
      <w:r w:rsidR="009D6E33" w:rsidRPr="00302053">
        <w:rPr>
          <w:rFonts w:ascii="Times New Roman" w:eastAsia="Times New Roman" w:hAnsi="Times New Roman" w:cs="Times New Roman"/>
          <w:color w:val="000000" w:themeColor="text1"/>
        </w:rPr>
        <w:t>SWRCB, 2014).</w:t>
      </w:r>
      <w:r w:rsidR="009D6E33" w:rsidRPr="00302053">
        <w:rPr>
          <w:rFonts w:ascii="Times New Roman" w:eastAsia="Times New Roman" w:hAnsi="Times New Roman" w:cs="Times New Roman"/>
          <w:color w:val="000000" w:themeColor="text1"/>
        </w:rPr>
        <w:t xml:space="preserve"> This state-level act built upon the federal-level CWA, where it expanded regulation of where the CWA lacked. The CWA primarily regulates surface waters and point pollutants, therefore, the Porter-Cologne Act furthered regulations in CA to include </w:t>
      </w:r>
      <w:r w:rsidR="00302053" w:rsidRPr="00302053">
        <w:rPr>
          <w:rFonts w:ascii="Times New Roman" w:eastAsia="Times New Roman" w:hAnsi="Times New Roman" w:cs="Times New Roman"/>
          <w:color w:val="000000" w:themeColor="text1"/>
        </w:rPr>
        <w:t>wetlands, groundwater, and nonpoint pollution sources (NPS). As part of this policy, the Regional Water Boards issue “NPDES permits for point source discharges and waste discharge requirements (WDRs) for NPS discharges” (</w:t>
      </w:r>
      <w:r w:rsidR="00302053" w:rsidRPr="00302053">
        <w:rPr>
          <w:rFonts w:ascii="Times New Roman" w:eastAsia="Times New Roman" w:hAnsi="Times New Roman" w:cs="Times New Roman"/>
          <w:color w:val="000000" w:themeColor="text1"/>
        </w:rPr>
        <w:t>SWRCB, 2014).</w:t>
      </w:r>
      <w:r w:rsidR="00302053" w:rsidRPr="00302053">
        <w:rPr>
          <w:rFonts w:ascii="Times New Roman" w:eastAsia="Times New Roman" w:hAnsi="Times New Roman" w:cs="Times New Roman"/>
          <w:color w:val="000000" w:themeColor="text1"/>
        </w:rPr>
        <w:t xml:space="preserve"> </w:t>
      </w:r>
    </w:p>
    <w:p w14:paraId="4881B8E1" w14:textId="78035E8E" w:rsidR="00F40DEB" w:rsidRDefault="00302053" w:rsidP="00F40DEB">
      <w:pPr>
        <w:pStyle w:val="NormalWeb"/>
        <w:spacing w:line="480" w:lineRule="auto"/>
        <w:ind w:firstLine="720"/>
        <w:rPr>
          <w:color w:val="000000" w:themeColor="text1"/>
        </w:rPr>
      </w:pPr>
      <w:r w:rsidRPr="00302053">
        <w:rPr>
          <w:color w:val="000000" w:themeColor="text1"/>
        </w:rPr>
        <w:t xml:space="preserve">The goal of the CWA is to “restore and maintain the chemical, physical, and biological integrity of the Nation’s waters” (33 U.S.C. </w:t>
      </w:r>
      <w:r w:rsidRPr="00302053">
        <w:rPr>
          <w:color w:val="000000" w:themeColor="text1"/>
        </w:rPr>
        <w:t xml:space="preserve">§ </w:t>
      </w:r>
      <w:r w:rsidRPr="00302053">
        <w:rPr>
          <w:color w:val="000000" w:themeColor="text1"/>
        </w:rPr>
        <w:t>1251(a))</w:t>
      </w:r>
      <w:r>
        <w:rPr>
          <w:color w:val="000000" w:themeColor="text1"/>
        </w:rPr>
        <w:t xml:space="preserve">. </w:t>
      </w:r>
      <w:r w:rsidR="00E26F80">
        <w:rPr>
          <w:color w:val="000000" w:themeColor="text1"/>
        </w:rPr>
        <w:t xml:space="preserve">Keiser and Shapiro (2018) penned about whether or not the CWA has been beneficial for the US, they state that some argue that “there is no clear evidence that the [CWA] has decreased pollution, or even whether water pollution has fallen… [additionally], some argue that the [CWA]’s costs have exceeded the benefits” (Keiser and Shapiro, 2018). Keiser and Shapiro conducted analysis of “50 million water pollution readings from more than 240,000 sites in continental US, from 1962 to 2001” and used “detailed records on each 35,000 grants the federal government gave cities in order to improve the treatment of municipal wastewater” (Keiser and Shapiro, 2018). From their study, they found that water pollution has </w:t>
      </w:r>
      <w:r w:rsidR="00F40DEB">
        <w:rPr>
          <w:color w:val="000000" w:themeColor="text1"/>
        </w:rPr>
        <w:t>declined</w:t>
      </w:r>
      <w:r w:rsidR="00E26F80">
        <w:rPr>
          <w:color w:val="000000" w:themeColor="text1"/>
        </w:rPr>
        <w:t xml:space="preserve"> between 1962 and 2001</w:t>
      </w:r>
      <w:r w:rsidR="00F40DEB">
        <w:rPr>
          <w:color w:val="000000" w:themeColor="text1"/>
        </w:rPr>
        <w:t xml:space="preserve">. Additionally, they found that the CWA grants (totaling $650 billion) given to cities to improve wastewater treatment plants “substantially decreased water pollution” (Keiser and Shapiro, 2018). Lastly, Keiser and Shapiro found that the grants “increased home values within a 25-mile radius around the waters that were </w:t>
      </w:r>
      <w:r w:rsidR="00F40DEB">
        <w:rPr>
          <w:color w:val="000000" w:themeColor="text1"/>
        </w:rPr>
        <w:lastRenderedPageBreak/>
        <w:t xml:space="preserve">cleaned up” (Keiser and Shapiro, 2018). Keiser and Shapiro conclude that the CWA has decreased US water pollution, however, the economic change in housing values did not overweight the costs associated in the environmental grants’ costs. </w:t>
      </w:r>
    </w:p>
    <w:p w14:paraId="7ABF44E7" w14:textId="183C6B53" w:rsidR="00E26F80" w:rsidRPr="00F40DEB" w:rsidRDefault="00F40DEB" w:rsidP="00F40DEB">
      <w:pPr>
        <w:pStyle w:val="NormalWeb"/>
        <w:spacing w:line="480" w:lineRule="auto"/>
        <w:ind w:firstLine="720"/>
        <w:rPr>
          <w:color w:val="000000" w:themeColor="text1"/>
        </w:rPr>
      </w:pPr>
      <w:r>
        <w:rPr>
          <w:color w:val="000000" w:themeColor="text1"/>
        </w:rPr>
        <w:t>Through the findings of Keiser and Shapiro, the CWA has significantly decreased water pollutants in the US, which was the goal of the CWA: to “</w:t>
      </w:r>
      <w:r w:rsidRPr="00302053">
        <w:rPr>
          <w:color w:val="000000" w:themeColor="text1"/>
        </w:rPr>
        <w:t>restore and maintain the chemical, physical, and biological integrity of the Nation’s waters” (33 U.S.C. § 1251(a))</w:t>
      </w:r>
      <w:r>
        <w:rPr>
          <w:color w:val="000000" w:themeColor="text1"/>
        </w:rPr>
        <w:t>.</w:t>
      </w:r>
      <w:r>
        <w:rPr>
          <w:color w:val="000000" w:themeColor="text1"/>
        </w:rPr>
        <w:t xml:space="preserve"> </w:t>
      </w:r>
      <w:r w:rsidR="001819D9">
        <w:rPr>
          <w:color w:val="000000" w:themeColor="text1"/>
        </w:rPr>
        <w:t xml:space="preserve">Federal and state-level regulations on point and NPS, surface waters, groundwater, and wetlands all made strides to increasing the environmental quality of WOTUS. Clarification is needed on regulators of WOTUS. As the Army Corps of Engineers are outlined in the 1899 federal regulation policy, they need to clarify their responsibility in regulating WOTUS. Several Supreme Court cases has originated out of this issue, therefore, clear and outlined clarification of what role does the US Army Corps of Engineers plays in WOTUS would be needed. Limitations in the federal-level policy of the CWA have been made by states, for example CA. However, adjustments to include stricter regulations of wetlands, groundwater, and NPS should be made at the federal-level to ensure that all states are meeting the environmental goal of ensuring the “integrity of the Nation’s waters”. </w:t>
      </w:r>
    </w:p>
    <w:p w14:paraId="2563721C" w14:textId="77777777" w:rsidR="001819D9" w:rsidRDefault="001819D9">
      <w:pPr>
        <w:rPr>
          <w:rFonts w:ascii="Times New Roman" w:eastAsia="Times New Roman" w:hAnsi="Times New Roman" w:cs="Times New Roman"/>
          <w:b/>
          <w:bCs/>
          <w:color w:val="2D3B45"/>
        </w:rPr>
      </w:pPr>
      <w:r>
        <w:rPr>
          <w:rFonts w:ascii="Times New Roman" w:eastAsia="Times New Roman" w:hAnsi="Times New Roman" w:cs="Times New Roman"/>
          <w:b/>
          <w:bCs/>
          <w:color w:val="2D3B45"/>
        </w:rPr>
        <w:br w:type="page"/>
      </w:r>
    </w:p>
    <w:p w14:paraId="78654B5E" w14:textId="60EDFF2E" w:rsidR="00E11873" w:rsidRPr="00302053" w:rsidRDefault="00E11873" w:rsidP="00302053">
      <w:pPr>
        <w:spacing w:before="180" w:after="180"/>
        <w:rPr>
          <w:rFonts w:ascii="Times New Roman" w:eastAsia="Times New Roman" w:hAnsi="Times New Roman" w:cs="Times New Roman"/>
          <w:b/>
          <w:bCs/>
          <w:color w:val="2D3B45"/>
        </w:rPr>
      </w:pPr>
      <w:r w:rsidRPr="00302053">
        <w:rPr>
          <w:rFonts w:ascii="Times New Roman" w:eastAsia="Times New Roman" w:hAnsi="Times New Roman" w:cs="Times New Roman"/>
          <w:b/>
          <w:bCs/>
          <w:color w:val="2D3B45"/>
        </w:rPr>
        <w:lastRenderedPageBreak/>
        <w:t>References:</w:t>
      </w:r>
    </w:p>
    <w:p w14:paraId="1EFCDD69" w14:textId="544B80ED" w:rsidR="00E11873" w:rsidRDefault="00E11873" w:rsidP="00302053">
      <w:pPr>
        <w:spacing w:before="100" w:beforeAutospacing="1" w:after="100" w:afterAutospacing="1"/>
        <w:ind w:left="567" w:hanging="567"/>
        <w:rPr>
          <w:rFonts w:ascii="Times New Roman" w:eastAsia="Times New Roman" w:hAnsi="Times New Roman" w:cs="Times New Roman"/>
          <w:color w:val="000000"/>
        </w:rPr>
      </w:pPr>
      <w:r w:rsidRPr="00E11873">
        <w:rPr>
          <w:rFonts w:ascii="Times New Roman" w:eastAsia="Times New Roman" w:hAnsi="Times New Roman" w:cs="Times New Roman"/>
          <w:color w:val="000000"/>
        </w:rPr>
        <w:t>California State Water Resources Control Board. (2014, June 23). </w:t>
      </w:r>
      <w:r w:rsidRPr="00E11873">
        <w:rPr>
          <w:rFonts w:ascii="Times New Roman" w:eastAsia="Times New Roman" w:hAnsi="Times New Roman" w:cs="Times New Roman"/>
          <w:i/>
          <w:iCs/>
          <w:color w:val="000000"/>
        </w:rPr>
        <w:t xml:space="preserve">0A – federal, </w:t>
      </w:r>
      <w:proofErr w:type="gramStart"/>
      <w:r w:rsidRPr="00E11873">
        <w:rPr>
          <w:rFonts w:ascii="Times New Roman" w:eastAsia="Times New Roman" w:hAnsi="Times New Roman" w:cs="Times New Roman"/>
          <w:i/>
          <w:iCs/>
          <w:color w:val="000000"/>
        </w:rPr>
        <w:t>state</w:t>
      </w:r>
      <w:proofErr w:type="gramEnd"/>
      <w:r w:rsidRPr="00E11873">
        <w:rPr>
          <w:rFonts w:ascii="Times New Roman" w:eastAsia="Times New Roman" w:hAnsi="Times New Roman" w:cs="Times New Roman"/>
          <w:i/>
          <w:iCs/>
          <w:color w:val="000000"/>
        </w:rPr>
        <w:t xml:space="preserve"> and local laws, policy and regulations</w:t>
      </w:r>
      <w:r w:rsidRPr="00E11873">
        <w:rPr>
          <w:rFonts w:ascii="Times New Roman" w:eastAsia="Times New Roman" w:hAnsi="Times New Roman" w:cs="Times New Roman"/>
          <w:color w:val="000000"/>
        </w:rPr>
        <w:t xml:space="preserve">. SWRCB. Retrieved from </w:t>
      </w:r>
      <w:r w:rsidR="009D6E33" w:rsidRPr="00E11873">
        <w:rPr>
          <w:rFonts w:ascii="Times New Roman" w:eastAsia="Times New Roman" w:hAnsi="Times New Roman" w:cs="Times New Roman"/>
          <w:color w:val="000000"/>
        </w:rPr>
        <w:t>https://www.waterboards.ca.gov/water_issues/programs/nps/encyclopedia/0a_laws_policy.html</w:t>
      </w:r>
      <w:r w:rsidRPr="00E11873">
        <w:rPr>
          <w:rFonts w:ascii="Times New Roman" w:eastAsia="Times New Roman" w:hAnsi="Times New Roman" w:cs="Times New Roman"/>
          <w:color w:val="000000"/>
        </w:rPr>
        <w:t>. </w:t>
      </w:r>
    </w:p>
    <w:p w14:paraId="42C7D36D" w14:textId="1B2A507A" w:rsidR="009D6E33" w:rsidRPr="00E11873" w:rsidRDefault="009D6E33" w:rsidP="00302053">
      <w:pPr>
        <w:spacing w:before="100" w:beforeAutospacing="1" w:after="100" w:afterAutospacing="1"/>
        <w:ind w:left="567" w:hanging="567"/>
        <w:rPr>
          <w:rFonts w:ascii="Times New Roman" w:eastAsia="Times New Roman" w:hAnsi="Times New Roman" w:cs="Times New Roman"/>
          <w:color w:val="000000"/>
        </w:rPr>
      </w:pPr>
      <w:r w:rsidRPr="009D6E33">
        <w:rPr>
          <w:rFonts w:ascii="Times New Roman" w:eastAsia="Times New Roman" w:hAnsi="Times New Roman" w:cs="Times New Roman"/>
          <w:color w:val="000000"/>
        </w:rPr>
        <w:t>California State Water Resources Control Board. (n.d.). </w:t>
      </w:r>
      <w:r w:rsidRPr="009D6E33">
        <w:rPr>
          <w:rFonts w:ascii="Times New Roman" w:eastAsia="Times New Roman" w:hAnsi="Times New Roman" w:cs="Times New Roman"/>
          <w:i/>
          <w:iCs/>
          <w:color w:val="000000"/>
        </w:rPr>
        <w:t>National Pollutant Discharge Elimination System (NPDES) - wastewater</w:t>
      </w:r>
      <w:r w:rsidRPr="009D6E33">
        <w:rPr>
          <w:rFonts w:ascii="Times New Roman" w:eastAsia="Times New Roman" w:hAnsi="Times New Roman" w:cs="Times New Roman"/>
          <w:color w:val="000000"/>
        </w:rPr>
        <w:t>. SWRCB.gov. Retrieved October 16, 2021, from https://www.waterboards.ca.gov/water_issues/programs/npdes/. </w:t>
      </w:r>
    </w:p>
    <w:p w14:paraId="65C6BB77" w14:textId="77777777" w:rsidR="00E11873" w:rsidRPr="00E11873" w:rsidRDefault="00E11873" w:rsidP="00302053">
      <w:pPr>
        <w:spacing w:before="100" w:beforeAutospacing="1" w:after="100" w:afterAutospacing="1"/>
        <w:ind w:left="567" w:hanging="567"/>
        <w:rPr>
          <w:rFonts w:ascii="Times New Roman" w:eastAsia="Times New Roman" w:hAnsi="Times New Roman" w:cs="Times New Roman"/>
          <w:color w:val="000000"/>
        </w:rPr>
      </w:pPr>
      <w:r w:rsidRPr="00E11873">
        <w:rPr>
          <w:rFonts w:ascii="Times New Roman" w:eastAsia="Times New Roman" w:hAnsi="Times New Roman" w:cs="Times New Roman"/>
          <w:color w:val="000000"/>
        </w:rPr>
        <w:t>Copeland, C. (2016). (rep.). </w:t>
      </w:r>
      <w:r w:rsidRPr="00E11873">
        <w:rPr>
          <w:rFonts w:ascii="Times New Roman" w:eastAsia="Times New Roman" w:hAnsi="Times New Roman" w:cs="Times New Roman"/>
          <w:i/>
          <w:iCs/>
          <w:color w:val="000000"/>
        </w:rPr>
        <w:t>Clean Water Act: A Summary of the Law</w:t>
      </w:r>
      <w:r w:rsidRPr="00E11873">
        <w:rPr>
          <w:rFonts w:ascii="Times New Roman" w:eastAsia="Times New Roman" w:hAnsi="Times New Roman" w:cs="Times New Roman"/>
          <w:color w:val="000000"/>
        </w:rPr>
        <w:t> (pp. 1–10). Congressional Research Service. </w:t>
      </w:r>
    </w:p>
    <w:p w14:paraId="1412B886" w14:textId="046BABB8" w:rsidR="00E11873" w:rsidRDefault="00E11873" w:rsidP="00302053">
      <w:pPr>
        <w:spacing w:before="100" w:beforeAutospacing="1" w:after="100" w:afterAutospacing="1"/>
        <w:ind w:left="567" w:hanging="567"/>
        <w:rPr>
          <w:rFonts w:ascii="Times New Roman" w:eastAsia="Times New Roman" w:hAnsi="Times New Roman" w:cs="Times New Roman"/>
          <w:color w:val="000000"/>
        </w:rPr>
      </w:pPr>
      <w:r w:rsidRPr="00E11873">
        <w:rPr>
          <w:rFonts w:ascii="Times New Roman" w:eastAsia="Times New Roman" w:hAnsi="Times New Roman" w:cs="Times New Roman"/>
          <w:color w:val="000000"/>
        </w:rPr>
        <w:t>Environmental Protection Agency. (n.d.). </w:t>
      </w:r>
      <w:r w:rsidRPr="00E11873">
        <w:rPr>
          <w:rFonts w:ascii="Times New Roman" w:eastAsia="Times New Roman" w:hAnsi="Times New Roman" w:cs="Times New Roman"/>
          <w:i/>
          <w:iCs/>
          <w:color w:val="000000"/>
        </w:rPr>
        <w:t>Summary of the Clean Water Act</w:t>
      </w:r>
      <w:r w:rsidRPr="00E11873">
        <w:rPr>
          <w:rFonts w:ascii="Times New Roman" w:eastAsia="Times New Roman" w:hAnsi="Times New Roman" w:cs="Times New Roman"/>
          <w:color w:val="000000"/>
        </w:rPr>
        <w:t xml:space="preserve">. Laws and Regulations. Retrieved October 16, 2021, from </w:t>
      </w:r>
      <w:r w:rsidR="00302053" w:rsidRPr="00E11873">
        <w:rPr>
          <w:rFonts w:ascii="Times New Roman" w:eastAsia="Times New Roman" w:hAnsi="Times New Roman" w:cs="Times New Roman"/>
          <w:color w:val="000000"/>
        </w:rPr>
        <w:t>https://www.epa.gov/laws-regulations/summary-clean-water-act</w:t>
      </w:r>
      <w:r w:rsidRPr="00E11873">
        <w:rPr>
          <w:rFonts w:ascii="Times New Roman" w:eastAsia="Times New Roman" w:hAnsi="Times New Roman" w:cs="Times New Roman"/>
          <w:color w:val="000000"/>
        </w:rPr>
        <w:t>. </w:t>
      </w:r>
    </w:p>
    <w:p w14:paraId="5CCD4D15" w14:textId="7C12418A" w:rsidR="00302053" w:rsidRDefault="00302053" w:rsidP="00302053">
      <w:pPr>
        <w:spacing w:before="100" w:beforeAutospacing="1" w:after="100" w:afterAutospacing="1"/>
        <w:ind w:left="567" w:hanging="567"/>
        <w:rPr>
          <w:rFonts w:ascii="Times New Roman" w:eastAsia="Times New Roman" w:hAnsi="Times New Roman" w:cs="Times New Roman"/>
          <w:color w:val="000000"/>
        </w:rPr>
      </w:pPr>
      <w:r w:rsidRPr="00302053">
        <w:rPr>
          <w:rFonts w:ascii="Times New Roman" w:eastAsia="Times New Roman" w:hAnsi="Times New Roman" w:cs="Times New Roman"/>
          <w:color w:val="000000"/>
        </w:rPr>
        <w:t>EPA. (n.d.). </w:t>
      </w:r>
      <w:r w:rsidRPr="00302053">
        <w:rPr>
          <w:rFonts w:ascii="Times New Roman" w:eastAsia="Times New Roman" w:hAnsi="Times New Roman" w:cs="Times New Roman"/>
          <w:i/>
          <w:iCs/>
          <w:color w:val="000000"/>
        </w:rPr>
        <w:t>Clean Water Act (CWA) Compliance Monitoring</w:t>
      </w:r>
      <w:r w:rsidRPr="00302053">
        <w:rPr>
          <w:rFonts w:ascii="Times New Roman" w:eastAsia="Times New Roman" w:hAnsi="Times New Roman" w:cs="Times New Roman"/>
          <w:color w:val="000000"/>
        </w:rPr>
        <w:t>. EPA. Retrieved October 16, 2021, from https://www.epa.gov/compliance/clean-water-act-cwa-compliance-monitoring. </w:t>
      </w:r>
    </w:p>
    <w:p w14:paraId="55955BED" w14:textId="76182AD4" w:rsidR="00302053" w:rsidRDefault="00302053" w:rsidP="00302053">
      <w:pPr>
        <w:spacing w:before="100" w:beforeAutospacing="1" w:after="100" w:afterAutospacing="1"/>
        <w:ind w:left="567" w:hanging="567"/>
        <w:rPr>
          <w:rFonts w:ascii="Times New Roman" w:eastAsia="Times New Roman" w:hAnsi="Times New Roman" w:cs="Times New Roman"/>
          <w:color w:val="000000"/>
        </w:rPr>
      </w:pPr>
      <w:r w:rsidRPr="00302053">
        <w:rPr>
          <w:rFonts w:ascii="Times New Roman" w:eastAsia="Times New Roman" w:hAnsi="Times New Roman" w:cs="Times New Roman"/>
          <w:color w:val="000000"/>
        </w:rPr>
        <w:t>EPA. (n.d.). </w:t>
      </w:r>
      <w:r w:rsidRPr="00302053">
        <w:rPr>
          <w:rFonts w:ascii="Times New Roman" w:eastAsia="Times New Roman" w:hAnsi="Times New Roman" w:cs="Times New Roman"/>
          <w:i/>
          <w:iCs/>
          <w:color w:val="000000"/>
        </w:rPr>
        <w:t>Water Enforcement</w:t>
      </w:r>
      <w:r w:rsidRPr="00302053">
        <w:rPr>
          <w:rFonts w:ascii="Times New Roman" w:eastAsia="Times New Roman" w:hAnsi="Times New Roman" w:cs="Times New Roman"/>
          <w:color w:val="000000"/>
        </w:rPr>
        <w:t>. EPA. Retrieved October 16, 2021, from https://www.epa.gov/enforcement/water-enforcement. </w:t>
      </w:r>
    </w:p>
    <w:p w14:paraId="762F35DB" w14:textId="77777777" w:rsidR="00302053" w:rsidRPr="00302053" w:rsidRDefault="00302053" w:rsidP="00302053">
      <w:pPr>
        <w:spacing w:before="100" w:beforeAutospacing="1" w:after="100" w:afterAutospacing="1"/>
        <w:ind w:left="567" w:hanging="567"/>
        <w:rPr>
          <w:rFonts w:ascii="Times New Roman" w:eastAsia="Times New Roman" w:hAnsi="Times New Roman" w:cs="Times New Roman"/>
          <w:color w:val="000000"/>
        </w:rPr>
      </w:pPr>
      <w:r w:rsidRPr="00302053">
        <w:rPr>
          <w:rFonts w:ascii="Times New Roman" w:eastAsia="Times New Roman" w:hAnsi="Times New Roman" w:cs="Times New Roman"/>
          <w:color w:val="000000"/>
        </w:rPr>
        <w:t>Keiser, D., &amp; Shapiro, J. S. (2018, October 24). </w:t>
      </w:r>
      <w:r w:rsidRPr="00302053">
        <w:rPr>
          <w:rFonts w:ascii="Times New Roman" w:eastAsia="Times New Roman" w:hAnsi="Times New Roman" w:cs="Times New Roman"/>
          <w:i/>
          <w:iCs/>
          <w:color w:val="000000"/>
        </w:rPr>
        <w:t>How the Clean Water Act has served the environment and the economy</w:t>
      </w:r>
      <w:r w:rsidRPr="00302053">
        <w:rPr>
          <w:rFonts w:ascii="Times New Roman" w:eastAsia="Times New Roman" w:hAnsi="Times New Roman" w:cs="Times New Roman"/>
          <w:color w:val="000000"/>
        </w:rPr>
        <w:t>. VOX, CEPR Policy Portal. Retrieved from https://voxeu.org/article/impact-clean-water-act. </w:t>
      </w:r>
    </w:p>
    <w:p w14:paraId="45FA4E3E" w14:textId="77777777" w:rsidR="00302053" w:rsidRPr="00302053" w:rsidRDefault="00302053" w:rsidP="00302053">
      <w:pPr>
        <w:spacing w:before="100" w:beforeAutospacing="1" w:after="100" w:afterAutospacing="1"/>
        <w:ind w:left="567" w:hanging="567"/>
        <w:rPr>
          <w:rFonts w:ascii="Times New Roman" w:eastAsia="Times New Roman" w:hAnsi="Times New Roman" w:cs="Times New Roman"/>
          <w:b/>
          <w:bCs/>
          <w:color w:val="000000"/>
        </w:rPr>
      </w:pPr>
    </w:p>
    <w:p w14:paraId="43B710F4" w14:textId="77777777" w:rsidR="00302053" w:rsidRPr="00302053" w:rsidRDefault="00302053" w:rsidP="00302053">
      <w:pPr>
        <w:spacing w:before="100" w:beforeAutospacing="1" w:after="100" w:afterAutospacing="1"/>
        <w:ind w:left="567" w:hanging="567"/>
        <w:rPr>
          <w:rFonts w:ascii="Times New Roman" w:eastAsia="Times New Roman" w:hAnsi="Times New Roman" w:cs="Times New Roman"/>
          <w:color w:val="000000"/>
        </w:rPr>
      </w:pPr>
    </w:p>
    <w:p w14:paraId="0F3B1CF9" w14:textId="77777777" w:rsidR="00302053" w:rsidRPr="00E11873" w:rsidRDefault="00302053" w:rsidP="00E11873">
      <w:pPr>
        <w:spacing w:before="100" w:beforeAutospacing="1" w:after="100" w:afterAutospacing="1"/>
        <w:ind w:left="567" w:hanging="567"/>
        <w:rPr>
          <w:rFonts w:ascii="Times New Roman" w:eastAsia="Times New Roman" w:hAnsi="Times New Roman" w:cs="Times New Roman"/>
          <w:color w:val="000000"/>
        </w:rPr>
      </w:pPr>
    </w:p>
    <w:p w14:paraId="4B4A3C1F" w14:textId="77777777" w:rsidR="00E11873" w:rsidRPr="00E11873" w:rsidRDefault="00E11873" w:rsidP="004823CF">
      <w:pPr>
        <w:spacing w:before="180" w:after="180" w:line="480" w:lineRule="auto"/>
        <w:ind w:firstLine="720"/>
        <w:rPr>
          <w:rFonts w:ascii="Times New Roman" w:eastAsia="Times New Roman" w:hAnsi="Times New Roman" w:cs="Times New Roman"/>
          <w:color w:val="2D3B45"/>
        </w:rPr>
      </w:pPr>
    </w:p>
    <w:sectPr w:rsidR="00E11873" w:rsidRPr="00E11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26A4D"/>
    <w:multiLevelType w:val="multilevel"/>
    <w:tmpl w:val="C822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10BF9"/>
    <w:multiLevelType w:val="multilevel"/>
    <w:tmpl w:val="1A6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CA"/>
    <w:rsid w:val="001654CA"/>
    <w:rsid w:val="001819D9"/>
    <w:rsid w:val="00302053"/>
    <w:rsid w:val="004823CF"/>
    <w:rsid w:val="009D6E33"/>
    <w:rsid w:val="00DB6BD5"/>
    <w:rsid w:val="00DE53E7"/>
    <w:rsid w:val="00E11873"/>
    <w:rsid w:val="00E26F80"/>
    <w:rsid w:val="00EB678E"/>
    <w:rsid w:val="00ED7109"/>
    <w:rsid w:val="00F4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B4079"/>
  <w15:chartTrackingRefBased/>
  <w15:docId w15:val="{41474244-6086-BD4F-BB70-14F2ABB9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53E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53E7"/>
    <w:rPr>
      <w:b/>
      <w:bCs/>
    </w:rPr>
  </w:style>
  <w:style w:type="character" w:customStyle="1" w:styleId="apple-converted-space">
    <w:name w:val="apple-converted-space"/>
    <w:basedOn w:val="DefaultParagraphFont"/>
    <w:rsid w:val="00DE53E7"/>
  </w:style>
  <w:style w:type="character" w:styleId="Hyperlink">
    <w:name w:val="Hyperlink"/>
    <w:basedOn w:val="DefaultParagraphFont"/>
    <w:uiPriority w:val="99"/>
    <w:unhideWhenUsed/>
    <w:rsid w:val="009D6E33"/>
    <w:rPr>
      <w:color w:val="0563C1" w:themeColor="hyperlink"/>
      <w:u w:val="single"/>
    </w:rPr>
  </w:style>
  <w:style w:type="character" w:styleId="UnresolvedMention">
    <w:name w:val="Unresolved Mention"/>
    <w:basedOn w:val="DefaultParagraphFont"/>
    <w:uiPriority w:val="99"/>
    <w:semiHidden/>
    <w:unhideWhenUsed/>
    <w:rsid w:val="009D6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5724">
      <w:bodyDiv w:val="1"/>
      <w:marLeft w:val="0"/>
      <w:marRight w:val="0"/>
      <w:marTop w:val="0"/>
      <w:marBottom w:val="0"/>
      <w:divBdr>
        <w:top w:val="none" w:sz="0" w:space="0" w:color="auto"/>
        <w:left w:val="none" w:sz="0" w:space="0" w:color="auto"/>
        <w:bottom w:val="none" w:sz="0" w:space="0" w:color="auto"/>
        <w:right w:val="none" w:sz="0" w:space="0" w:color="auto"/>
      </w:divBdr>
    </w:div>
    <w:div w:id="131215010">
      <w:bodyDiv w:val="1"/>
      <w:marLeft w:val="0"/>
      <w:marRight w:val="0"/>
      <w:marTop w:val="0"/>
      <w:marBottom w:val="0"/>
      <w:divBdr>
        <w:top w:val="none" w:sz="0" w:space="0" w:color="auto"/>
        <w:left w:val="none" w:sz="0" w:space="0" w:color="auto"/>
        <w:bottom w:val="none" w:sz="0" w:space="0" w:color="auto"/>
        <w:right w:val="none" w:sz="0" w:space="0" w:color="auto"/>
      </w:divBdr>
      <w:divsChild>
        <w:div w:id="337660963">
          <w:marLeft w:val="0"/>
          <w:marRight w:val="0"/>
          <w:marTop w:val="0"/>
          <w:marBottom w:val="0"/>
          <w:divBdr>
            <w:top w:val="none" w:sz="0" w:space="0" w:color="auto"/>
            <w:left w:val="none" w:sz="0" w:space="0" w:color="auto"/>
            <w:bottom w:val="none" w:sz="0" w:space="0" w:color="auto"/>
            <w:right w:val="none" w:sz="0" w:space="0" w:color="auto"/>
          </w:divBdr>
          <w:divsChild>
            <w:div w:id="264927217">
              <w:marLeft w:val="0"/>
              <w:marRight w:val="0"/>
              <w:marTop w:val="0"/>
              <w:marBottom w:val="0"/>
              <w:divBdr>
                <w:top w:val="none" w:sz="0" w:space="0" w:color="auto"/>
                <w:left w:val="none" w:sz="0" w:space="0" w:color="auto"/>
                <w:bottom w:val="none" w:sz="0" w:space="0" w:color="auto"/>
                <w:right w:val="none" w:sz="0" w:space="0" w:color="auto"/>
              </w:divBdr>
              <w:divsChild>
                <w:div w:id="8479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3896">
      <w:bodyDiv w:val="1"/>
      <w:marLeft w:val="0"/>
      <w:marRight w:val="0"/>
      <w:marTop w:val="0"/>
      <w:marBottom w:val="0"/>
      <w:divBdr>
        <w:top w:val="none" w:sz="0" w:space="0" w:color="auto"/>
        <w:left w:val="none" w:sz="0" w:space="0" w:color="auto"/>
        <w:bottom w:val="none" w:sz="0" w:space="0" w:color="auto"/>
        <w:right w:val="none" w:sz="0" w:space="0" w:color="auto"/>
      </w:divBdr>
    </w:div>
    <w:div w:id="770901671">
      <w:bodyDiv w:val="1"/>
      <w:marLeft w:val="0"/>
      <w:marRight w:val="0"/>
      <w:marTop w:val="0"/>
      <w:marBottom w:val="0"/>
      <w:divBdr>
        <w:top w:val="none" w:sz="0" w:space="0" w:color="auto"/>
        <w:left w:val="none" w:sz="0" w:space="0" w:color="auto"/>
        <w:bottom w:val="none" w:sz="0" w:space="0" w:color="auto"/>
        <w:right w:val="none" w:sz="0" w:space="0" w:color="auto"/>
      </w:divBdr>
    </w:div>
    <w:div w:id="973753080">
      <w:bodyDiv w:val="1"/>
      <w:marLeft w:val="0"/>
      <w:marRight w:val="0"/>
      <w:marTop w:val="0"/>
      <w:marBottom w:val="0"/>
      <w:divBdr>
        <w:top w:val="none" w:sz="0" w:space="0" w:color="auto"/>
        <w:left w:val="none" w:sz="0" w:space="0" w:color="auto"/>
        <w:bottom w:val="none" w:sz="0" w:space="0" w:color="auto"/>
        <w:right w:val="none" w:sz="0" w:space="0" w:color="auto"/>
      </w:divBdr>
    </w:div>
    <w:div w:id="1045955273">
      <w:bodyDiv w:val="1"/>
      <w:marLeft w:val="0"/>
      <w:marRight w:val="0"/>
      <w:marTop w:val="0"/>
      <w:marBottom w:val="0"/>
      <w:divBdr>
        <w:top w:val="none" w:sz="0" w:space="0" w:color="auto"/>
        <w:left w:val="none" w:sz="0" w:space="0" w:color="auto"/>
        <w:bottom w:val="none" w:sz="0" w:space="0" w:color="auto"/>
        <w:right w:val="none" w:sz="0" w:space="0" w:color="auto"/>
      </w:divBdr>
    </w:div>
    <w:div w:id="1235625829">
      <w:bodyDiv w:val="1"/>
      <w:marLeft w:val="0"/>
      <w:marRight w:val="0"/>
      <w:marTop w:val="0"/>
      <w:marBottom w:val="0"/>
      <w:divBdr>
        <w:top w:val="none" w:sz="0" w:space="0" w:color="auto"/>
        <w:left w:val="none" w:sz="0" w:space="0" w:color="auto"/>
        <w:bottom w:val="none" w:sz="0" w:space="0" w:color="auto"/>
        <w:right w:val="none" w:sz="0" w:space="0" w:color="auto"/>
      </w:divBdr>
      <w:divsChild>
        <w:div w:id="22564144">
          <w:marLeft w:val="0"/>
          <w:marRight w:val="0"/>
          <w:marTop w:val="0"/>
          <w:marBottom w:val="0"/>
          <w:divBdr>
            <w:top w:val="none" w:sz="0" w:space="0" w:color="auto"/>
            <w:left w:val="none" w:sz="0" w:space="0" w:color="auto"/>
            <w:bottom w:val="none" w:sz="0" w:space="0" w:color="auto"/>
            <w:right w:val="none" w:sz="0" w:space="0" w:color="auto"/>
          </w:divBdr>
          <w:divsChild>
            <w:div w:id="714545090">
              <w:marLeft w:val="0"/>
              <w:marRight w:val="0"/>
              <w:marTop w:val="0"/>
              <w:marBottom w:val="0"/>
              <w:divBdr>
                <w:top w:val="none" w:sz="0" w:space="0" w:color="auto"/>
                <w:left w:val="none" w:sz="0" w:space="0" w:color="auto"/>
                <w:bottom w:val="none" w:sz="0" w:space="0" w:color="auto"/>
                <w:right w:val="none" w:sz="0" w:space="0" w:color="auto"/>
              </w:divBdr>
              <w:divsChild>
                <w:div w:id="4875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29179">
      <w:bodyDiv w:val="1"/>
      <w:marLeft w:val="0"/>
      <w:marRight w:val="0"/>
      <w:marTop w:val="0"/>
      <w:marBottom w:val="0"/>
      <w:divBdr>
        <w:top w:val="none" w:sz="0" w:space="0" w:color="auto"/>
        <w:left w:val="none" w:sz="0" w:space="0" w:color="auto"/>
        <w:bottom w:val="none" w:sz="0" w:space="0" w:color="auto"/>
        <w:right w:val="none" w:sz="0" w:space="0" w:color="auto"/>
      </w:divBdr>
    </w:div>
    <w:div w:id="1659309632">
      <w:bodyDiv w:val="1"/>
      <w:marLeft w:val="0"/>
      <w:marRight w:val="0"/>
      <w:marTop w:val="0"/>
      <w:marBottom w:val="0"/>
      <w:divBdr>
        <w:top w:val="none" w:sz="0" w:space="0" w:color="auto"/>
        <w:left w:val="none" w:sz="0" w:space="0" w:color="auto"/>
        <w:bottom w:val="none" w:sz="0" w:space="0" w:color="auto"/>
        <w:right w:val="none" w:sz="0" w:space="0" w:color="auto"/>
      </w:divBdr>
      <w:divsChild>
        <w:div w:id="1658343272">
          <w:marLeft w:val="0"/>
          <w:marRight w:val="0"/>
          <w:marTop w:val="0"/>
          <w:marBottom w:val="0"/>
          <w:divBdr>
            <w:top w:val="none" w:sz="0" w:space="0" w:color="auto"/>
            <w:left w:val="none" w:sz="0" w:space="0" w:color="auto"/>
            <w:bottom w:val="none" w:sz="0" w:space="0" w:color="auto"/>
            <w:right w:val="none" w:sz="0" w:space="0" w:color="auto"/>
          </w:divBdr>
          <w:divsChild>
            <w:div w:id="2070224283">
              <w:marLeft w:val="0"/>
              <w:marRight w:val="0"/>
              <w:marTop w:val="0"/>
              <w:marBottom w:val="0"/>
              <w:divBdr>
                <w:top w:val="none" w:sz="0" w:space="0" w:color="auto"/>
                <w:left w:val="none" w:sz="0" w:space="0" w:color="auto"/>
                <w:bottom w:val="none" w:sz="0" w:space="0" w:color="auto"/>
                <w:right w:val="none" w:sz="0" w:space="0" w:color="auto"/>
              </w:divBdr>
              <w:divsChild>
                <w:div w:id="12528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O'Ryan</dc:creator>
  <cp:keywords/>
  <dc:description/>
  <cp:lastModifiedBy>Dylan O'Ryan</cp:lastModifiedBy>
  <cp:revision>2</cp:revision>
  <dcterms:created xsi:type="dcterms:W3CDTF">2021-10-16T16:21:00Z</dcterms:created>
  <dcterms:modified xsi:type="dcterms:W3CDTF">2021-10-16T18:17:00Z</dcterms:modified>
</cp:coreProperties>
</file>