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BC" w:rsidRPr="00D609D3" w:rsidRDefault="00B849B5" w:rsidP="00B849B5">
      <w:pPr>
        <w:spacing w:after="0"/>
        <w:jc w:val="center"/>
        <w:rPr>
          <w:b/>
          <w:sz w:val="24"/>
        </w:rPr>
      </w:pPr>
      <w:r w:rsidRPr="00D609D3">
        <w:rPr>
          <w:b/>
          <w:sz w:val="24"/>
        </w:rPr>
        <w:t>VOC Systems Executive Summary</w:t>
      </w:r>
    </w:p>
    <w:p w:rsidR="00B849B5" w:rsidRDefault="008F10BC" w:rsidP="00B849B5">
      <w:pPr>
        <w:spacing w:after="0"/>
      </w:pPr>
      <w:r>
        <w:t>VOC Systems is a team dedicated to creating a system that gives small communities a means to fight against large corporations involved in volatile organic compound (VOC) leaks. VOC’s are categories as carbon compounds that are hazardous to human health. VOC System</w:t>
      </w:r>
      <w:r w:rsidR="005E434E">
        <w:t>’</w:t>
      </w:r>
      <w:r>
        <w:t xml:space="preserve">s </w:t>
      </w:r>
      <w:r w:rsidR="00820971">
        <w:t>m</w:t>
      </w:r>
      <w:r>
        <w:t>onitor</w:t>
      </w:r>
      <w:r w:rsidR="00820971">
        <w:t>s</w:t>
      </w:r>
      <w:r>
        <w:t xml:space="preserve"> records VOC levels in a community and stores them for use as evidence </w:t>
      </w:r>
      <w:r w:rsidR="005E434E">
        <w:t xml:space="preserve">in legal proceedings. </w:t>
      </w:r>
    </w:p>
    <w:p w:rsidR="008F10BC" w:rsidRPr="00D609D3" w:rsidRDefault="003159B4" w:rsidP="003159B4">
      <w:pPr>
        <w:spacing w:after="0"/>
        <w:jc w:val="center"/>
        <w:rPr>
          <w:b/>
          <w:sz w:val="24"/>
        </w:rPr>
      </w:pPr>
      <w:r w:rsidRPr="00D609D3">
        <w:rPr>
          <w:b/>
          <w:sz w:val="24"/>
        </w:rPr>
        <w:t>Purpose</w:t>
      </w:r>
    </w:p>
    <w:p w:rsidR="00080274" w:rsidRDefault="008F10BC" w:rsidP="00B849B5">
      <w:pPr>
        <w:spacing w:after="0"/>
      </w:pPr>
      <w:r>
        <w:t>The Environmental Protection Agency</w:t>
      </w:r>
      <w:r w:rsidR="005E434E">
        <w:t xml:space="preserve"> </w:t>
      </w:r>
      <w:r>
        <w:t>(EPA) estimates that over 80 million pounds of undetected VOC</w:t>
      </w:r>
      <w:r w:rsidR="005E434E">
        <w:t>s</w:t>
      </w:r>
      <w:r>
        <w:t xml:space="preserve"> are released by oil refineries every year. </w:t>
      </w:r>
      <w:r w:rsidR="005E434E">
        <w:t xml:space="preserve">In August of 2012, Chevron was successfully sued by the Richmond, California community for an oil fire. In Mayflower, Arkansas the state governor successfully sued Exxon Mobil for a massive oil leak. In the Standard Heights community of Baton Rouge, </w:t>
      </w:r>
      <w:r w:rsidR="009010A2">
        <w:t>Louisiana</w:t>
      </w:r>
      <w:r w:rsidR="005E434E">
        <w:t xml:space="preserve"> </w:t>
      </w:r>
      <w:r w:rsidR="00820971">
        <w:t xml:space="preserve">residents </w:t>
      </w:r>
      <w:r w:rsidR="005E434E">
        <w:t xml:space="preserve">suffered from a </w:t>
      </w:r>
      <w:r w:rsidR="00080274">
        <w:t>N</w:t>
      </w:r>
      <w:r w:rsidR="005E434E">
        <w:t>apth</w:t>
      </w:r>
      <w:r w:rsidR="00080274">
        <w:t>alene</w:t>
      </w:r>
      <w:r w:rsidR="005E434E">
        <w:t xml:space="preserve"> leak</w:t>
      </w:r>
      <w:r w:rsidR="00080274">
        <w:t xml:space="preserve"> </w:t>
      </w:r>
      <w:r w:rsidR="00820971">
        <w:t xml:space="preserve">caused by a </w:t>
      </w:r>
      <w:r w:rsidR="00080274">
        <w:t xml:space="preserve">nearby Exxon Mobil plant. </w:t>
      </w:r>
    </w:p>
    <w:p w:rsidR="003159B4" w:rsidRDefault="003159B4" w:rsidP="00B849B5">
      <w:pPr>
        <w:spacing w:after="0"/>
      </w:pPr>
    </w:p>
    <w:p w:rsidR="008F10BC" w:rsidRDefault="00080274">
      <w:pPr>
        <w:rPr>
          <w:rFonts w:cs="Arial"/>
          <w:color w:val="252323"/>
          <w:shd w:val="clear" w:color="auto" w:fill="FFFFFF"/>
        </w:rPr>
      </w:pPr>
      <w:r>
        <w:rPr>
          <w:rFonts w:cs="Arial"/>
          <w:color w:val="252323"/>
          <w:shd w:val="clear" w:color="auto" w:fill="FFFFFF"/>
        </w:rPr>
        <w:t>Napthalene</w:t>
      </w:r>
      <w:r>
        <w:rPr>
          <w:rFonts w:cs="Arial"/>
          <w:color w:val="252323"/>
          <w:shd w:val="clear" w:color="auto" w:fill="FFFFFF"/>
        </w:rPr>
        <w:t xml:space="preserve"> is a chemical that turns to toxic vapor as it touches the atmosphere.</w:t>
      </w:r>
      <w:r>
        <w:rPr>
          <w:rFonts w:cs="Arial"/>
          <w:color w:val="252323"/>
          <w:shd w:val="clear" w:color="auto" w:fill="FFFFFF"/>
        </w:rPr>
        <w:t xml:space="preserve"> It is a byproduct of fossil fuel combustion. Napthalene breaks apart red blood cells causing severe vomiting and tissue dam</w:t>
      </w:r>
      <w:r w:rsidR="00A97670">
        <w:rPr>
          <w:rFonts w:cs="Arial"/>
          <w:color w:val="252323"/>
          <w:shd w:val="clear" w:color="auto" w:fill="FFFFFF"/>
        </w:rPr>
        <w:t>a</w:t>
      </w:r>
      <w:r>
        <w:rPr>
          <w:rFonts w:cs="Arial"/>
          <w:color w:val="252323"/>
          <w:shd w:val="clear" w:color="auto" w:fill="FFFFFF"/>
        </w:rPr>
        <w:t xml:space="preserve">ge. Exxon Mobil </w:t>
      </w:r>
      <w:r w:rsidR="00820971">
        <w:rPr>
          <w:rFonts w:cs="Arial"/>
          <w:color w:val="252323"/>
          <w:shd w:val="clear" w:color="auto" w:fill="FFFFFF"/>
        </w:rPr>
        <w:t xml:space="preserve">initially </w:t>
      </w:r>
      <w:r>
        <w:rPr>
          <w:rFonts w:cs="Arial"/>
          <w:color w:val="252323"/>
          <w:shd w:val="clear" w:color="auto" w:fill="FFFFFF"/>
        </w:rPr>
        <w:t>claim</w:t>
      </w:r>
      <w:r w:rsidR="00820971">
        <w:rPr>
          <w:rFonts w:cs="Arial"/>
          <w:color w:val="252323"/>
          <w:shd w:val="clear" w:color="auto" w:fill="FFFFFF"/>
        </w:rPr>
        <w:t>ed</w:t>
      </w:r>
      <w:r>
        <w:rPr>
          <w:rFonts w:cs="Arial"/>
          <w:color w:val="252323"/>
          <w:shd w:val="clear" w:color="auto" w:fill="FFFFFF"/>
        </w:rPr>
        <w:t xml:space="preserve"> that the leak wasn’t large enough to affe</w:t>
      </w:r>
      <w:r w:rsidR="00820971">
        <w:rPr>
          <w:rFonts w:cs="Arial"/>
          <w:color w:val="252323"/>
          <w:shd w:val="clear" w:color="auto" w:fill="FFFFFF"/>
        </w:rPr>
        <w:t>ct the community. Months later, Mobil</w:t>
      </w:r>
      <w:r>
        <w:rPr>
          <w:rFonts w:cs="Arial"/>
          <w:color w:val="252323"/>
          <w:shd w:val="clear" w:color="auto" w:fill="FFFFFF"/>
        </w:rPr>
        <w:t xml:space="preserve"> would admit that the </w:t>
      </w:r>
      <w:r w:rsidR="00820971">
        <w:rPr>
          <w:rFonts w:cs="Arial"/>
          <w:color w:val="252323"/>
          <w:shd w:val="clear" w:color="auto" w:fill="FFFFFF"/>
        </w:rPr>
        <w:t xml:space="preserve">leak was larger than estimated. </w:t>
      </w:r>
      <w:r>
        <w:rPr>
          <w:rFonts w:cs="Arial"/>
          <w:color w:val="252323"/>
          <w:shd w:val="clear" w:color="auto" w:fill="FFFFFF"/>
        </w:rPr>
        <w:t xml:space="preserve">Standard Heights </w:t>
      </w:r>
      <w:r w:rsidR="00820971">
        <w:rPr>
          <w:rFonts w:cs="Arial"/>
          <w:color w:val="252323"/>
          <w:shd w:val="clear" w:color="auto" w:fill="FFFFFF"/>
        </w:rPr>
        <w:t xml:space="preserve">has </w:t>
      </w:r>
      <w:r>
        <w:rPr>
          <w:rFonts w:cs="Arial"/>
          <w:color w:val="252323"/>
          <w:shd w:val="clear" w:color="auto" w:fill="FFFFFF"/>
        </w:rPr>
        <w:t>receive</w:t>
      </w:r>
      <w:r w:rsidR="00820971">
        <w:rPr>
          <w:rFonts w:cs="Arial"/>
          <w:color w:val="252323"/>
          <w:shd w:val="clear" w:color="auto" w:fill="FFFFFF"/>
        </w:rPr>
        <w:t>d</w:t>
      </w:r>
      <w:r>
        <w:rPr>
          <w:rFonts w:cs="Arial"/>
          <w:color w:val="252323"/>
          <w:shd w:val="clear" w:color="auto" w:fill="FFFFFF"/>
        </w:rPr>
        <w:t xml:space="preserve"> no apology or compensation. </w:t>
      </w:r>
    </w:p>
    <w:p w:rsidR="00080274" w:rsidRPr="00D609D3" w:rsidRDefault="00080274">
      <w:pPr>
        <w:rPr>
          <w:rFonts w:cs="Arial"/>
          <w:color w:val="252323"/>
          <w:sz w:val="24"/>
          <w:shd w:val="clear" w:color="auto" w:fill="FFFFFF"/>
        </w:rPr>
      </w:pPr>
      <w:r>
        <w:rPr>
          <w:rFonts w:cs="Arial"/>
          <w:color w:val="252323"/>
          <w:shd w:val="clear" w:color="auto" w:fill="FFFFFF"/>
        </w:rPr>
        <w:t xml:space="preserve">VOC Systems is needed because no one wants to sue a corporal giant with no more evidence than similar symptoms among the residents of a community. The VOC levels that the VOC System’s monitor records acts as a fire, as an oil leak. It is the tangible evidence these communities need to stand up for </w:t>
      </w:r>
      <w:r w:rsidR="00B849B5">
        <w:rPr>
          <w:rFonts w:cs="Arial"/>
          <w:color w:val="252323"/>
          <w:shd w:val="clear" w:color="auto" w:fill="FFFFFF"/>
        </w:rPr>
        <w:t>themselves.</w:t>
      </w:r>
    </w:p>
    <w:p w:rsidR="008F10BC" w:rsidRPr="00D609D3" w:rsidRDefault="003159B4" w:rsidP="003159B4">
      <w:pPr>
        <w:spacing w:after="0"/>
        <w:jc w:val="center"/>
        <w:rPr>
          <w:b/>
          <w:sz w:val="24"/>
        </w:rPr>
      </w:pPr>
      <w:r w:rsidRPr="00D609D3">
        <w:rPr>
          <w:b/>
          <w:sz w:val="24"/>
        </w:rPr>
        <w:t>System Overview</w:t>
      </w:r>
    </w:p>
    <w:p w:rsidR="00080274" w:rsidRDefault="00080274" w:rsidP="00B849B5">
      <w:pPr>
        <w:spacing w:after="0"/>
      </w:pPr>
      <w:r>
        <w:t xml:space="preserve">The </w:t>
      </w:r>
      <w:r w:rsidR="003159B4">
        <w:t>VOC Monitoring S</w:t>
      </w:r>
      <w:r>
        <w:t xml:space="preserve">ystem comes in two sizes. The small system includes three monitors; the large system includes five monitors. </w:t>
      </w:r>
      <w:r w:rsidR="003159B4">
        <w:t xml:space="preserve">These monitors are positioned around a community. </w:t>
      </w:r>
      <w:r>
        <w:t>Each monitor includes</w:t>
      </w:r>
      <w:r w:rsidR="003159B4">
        <w:t xml:space="preserve"> a sensor that detects a</w:t>
      </w:r>
      <w:r>
        <w:t xml:space="preserve"> VOC as chosen by a community’s specific need. </w:t>
      </w:r>
    </w:p>
    <w:p w:rsidR="003159B4" w:rsidRDefault="003159B4" w:rsidP="00B849B5">
      <w:pPr>
        <w:spacing w:after="0"/>
      </w:pPr>
    </w:p>
    <w:p w:rsidR="00B849B5" w:rsidRDefault="00B849B5">
      <w:r>
        <w:t>Every</w:t>
      </w:r>
      <w:r w:rsidR="000D6EA2">
        <w:t xml:space="preserve"> hour the monitors will record the</w:t>
      </w:r>
      <w:r>
        <w:t xml:space="preserve"> VOC level. Once a week these VOC readings will be downloaded onto a mobile computer. From there</w:t>
      </w:r>
      <w:r w:rsidR="000D6EA2">
        <w:t>,</w:t>
      </w:r>
      <w:r>
        <w:t xml:space="preserve"> the data is stored and sent to a web application. This web application is available to anyone with an internet connection. </w:t>
      </w:r>
    </w:p>
    <w:p w:rsidR="00B849B5" w:rsidRDefault="00B849B5">
      <w:r>
        <w:t>The web application includes access to VOC level files for a specified period of time. For comparison, the application includes a VOC (parts per million) vs. time</w:t>
      </w:r>
      <w:r w:rsidR="003159B4">
        <w:t xml:space="preserve"> </w:t>
      </w:r>
      <w:r>
        <w:t>(hour) graph for a specific monitor. Lastly, a map is available to locate monitors and see what VOC each monitoring system detects.</w:t>
      </w:r>
    </w:p>
    <w:p w:rsidR="003159B4" w:rsidRPr="00D609D3" w:rsidRDefault="008F10BC" w:rsidP="003C597F">
      <w:pPr>
        <w:spacing w:after="0"/>
        <w:jc w:val="center"/>
        <w:rPr>
          <w:b/>
          <w:sz w:val="24"/>
        </w:rPr>
      </w:pPr>
      <w:r w:rsidRPr="00D609D3">
        <w:rPr>
          <w:b/>
          <w:sz w:val="24"/>
        </w:rPr>
        <w:t>Financial Plan</w:t>
      </w:r>
    </w:p>
    <w:p w:rsidR="003159B4" w:rsidRDefault="003159B4" w:rsidP="003C597F">
      <w:pPr>
        <w:spacing w:after="0"/>
      </w:pPr>
      <w:r>
        <w:t xml:space="preserve">A key factor for the VOC Monitoring System is that is must be affordable. The markets this product is targeted </w:t>
      </w:r>
      <w:r w:rsidR="00360048">
        <w:t xml:space="preserve">towards are </w:t>
      </w:r>
      <w:r w:rsidR="0041613A">
        <w:t>C</w:t>
      </w:r>
      <w:r w:rsidR="00360048">
        <w:t>ity</w:t>
      </w:r>
      <w:r w:rsidR="0041613A">
        <w:t xml:space="preserve"> C</w:t>
      </w:r>
      <w:r>
        <w:t>ouncil</w:t>
      </w:r>
      <w:r w:rsidR="0041613A">
        <w:t>s and</w:t>
      </w:r>
      <w:r w:rsidR="00360048">
        <w:t xml:space="preserve"> </w:t>
      </w:r>
      <w:r w:rsidR="0041613A">
        <w:t>First R</w:t>
      </w:r>
      <w:r>
        <w:t xml:space="preserve">esponders such as </w:t>
      </w:r>
      <w:r w:rsidR="00360048">
        <w:t xml:space="preserve">community </w:t>
      </w:r>
      <w:r>
        <w:t>fire department</w:t>
      </w:r>
      <w:r w:rsidR="0041613A">
        <w:t>s</w:t>
      </w:r>
      <w:r>
        <w:t xml:space="preserve">. </w:t>
      </w:r>
      <w:r>
        <w:t>This plan</w:t>
      </w:r>
      <w:r>
        <w:t xml:space="preserve"> does not consider the possibility of buying items in bulk. T</w:t>
      </w:r>
      <w:r w:rsidR="0041613A">
        <w:t xml:space="preserve">he cost analysis is therefore not a best case </w:t>
      </w:r>
      <w:r>
        <w:t>scenario representation.</w:t>
      </w:r>
    </w:p>
    <w:p w:rsidR="00A97670" w:rsidRDefault="00A97670" w:rsidP="003C597F">
      <w:pPr>
        <w:spacing w:after="0"/>
      </w:pPr>
    </w:p>
    <w:p w:rsidR="000D6EA2" w:rsidRDefault="000D6EA2" w:rsidP="000D6EA2"/>
    <w:p w:rsidR="000D6EA2" w:rsidRPr="0042327E" w:rsidRDefault="000D6EA2" w:rsidP="000D6EA2">
      <w:r>
        <w:lastRenderedPageBreak/>
        <w:t>The hardware for each VOC monitor will cost approximately $107.79 dollars.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3159B4" w:rsidTr="004920FC">
        <w:tc>
          <w:tcPr>
            <w:tcW w:w="3192" w:type="dxa"/>
          </w:tcPr>
          <w:p w:rsidR="003159B4" w:rsidRDefault="003159B4" w:rsidP="000D6EA2">
            <w:r>
              <w:t>Hardware</w:t>
            </w:r>
          </w:p>
        </w:tc>
        <w:tc>
          <w:tcPr>
            <w:tcW w:w="3192" w:type="dxa"/>
          </w:tcPr>
          <w:p w:rsidR="003159B4" w:rsidRDefault="003159B4" w:rsidP="000D6EA2">
            <w:r>
              <w:t>Price</w:t>
            </w:r>
          </w:p>
        </w:tc>
      </w:tr>
      <w:tr w:rsidR="003159B4" w:rsidTr="004920FC">
        <w:tc>
          <w:tcPr>
            <w:tcW w:w="3192" w:type="dxa"/>
          </w:tcPr>
          <w:p w:rsidR="003159B4" w:rsidRDefault="003159B4" w:rsidP="000D6EA2">
            <w:proofErr w:type="spellStart"/>
            <w:r>
              <w:t>Arduino</w:t>
            </w:r>
            <w:proofErr w:type="spellEnd"/>
            <w:r>
              <w:t xml:space="preserve"> Kit</w:t>
            </w:r>
          </w:p>
        </w:tc>
        <w:tc>
          <w:tcPr>
            <w:tcW w:w="3192" w:type="dxa"/>
          </w:tcPr>
          <w:p w:rsidR="003159B4" w:rsidRDefault="003159B4" w:rsidP="000D6EA2">
            <w:r>
              <w:t>33.99</w:t>
            </w:r>
          </w:p>
        </w:tc>
      </w:tr>
      <w:tr w:rsidR="003159B4" w:rsidTr="004920FC">
        <w:tc>
          <w:tcPr>
            <w:tcW w:w="3192" w:type="dxa"/>
          </w:tcPr>
          <w:p w:rsidR="003159B4" w:rsidRDefault="003159B4" w:rsidP="000D6EA2">
            <w:r>
              <w:t>Sensor*</w:t>
            </w:r>
          </w:p>
        </w:tc>
        <w:tc>
          <w:tcPr>
            <w:tcW w:w="3192" w:type="dxa"/>
          </w:tcPr>
          <w:p w:rsidR="003159B4" w:rsidRDefault="003159B4" w:rsidP="000D6EA2">
            <w:r>
              <w:t>7.25</w:t>
            </w:r>
          </w:p>
        </w:tc>
      </w:tr>
      <w:tr w:rsidR="003159B4" w:rsidTr="004920FC">
        <w:tc>
          <w:tcPr>
            <w:tcW w:w="3192" w:type="dxa"/>
          </w:tcPr>
          <w:p w:rsidR="003159B4" w:rsidRDefault="003159B4" w:rsidP="000D6EA2">
            <w:r>
              <w:t>SD Shield</w:t>
            </w:r>
          </w:p>
        </w:tc>
        <w:tc>
          <w:tcPr>
            <w:tcW w:w="3192" w:type="dxa"/>
          </w:tcPr>
          <w:p w:rsidR="003159B4" w:rsidRDefault="003159B4" w:rsidP="000D6EA2">
            <w:r>
              <w:t>10.00</w:t>
            </w:r>
          </w:p>
        </w:tc>
      </w:tr>
      <w:tr w:rsidR="003159B4" w:rsidTr="004920FC">
        <w:tc>
          <w:tcPr>
            <w:tcW w:w="3192" w:type="dxa"/>
          </w:tcPr>
          <w:p w:rsidR="003159B4" w:rsidRDefault="003159B4" w:rsidP="000D6EA2">
            <w:r>
              <w:t>Solar Power Shield</w:t>
            </w:r>
          </w:p>
        </w:tc>
        <w:tc>
          <w:tcPr>
            <w:tcW w:w="3192" w:type="dxa"/>
          </w:tcPr>
          <w:p w:rsidR="003159B4" w:rsidRDefault="003159B4" w:rsidP="000D6EA2">
            <w:r>
              <w:t>35.00</w:t>
            </w:r>
          </w:p>
        </w:tc>
      </w:tr>
      <w:tr w:rsidR="003159B4" w:rsidTr="004920FC">
        <w:tc>
          <w:tcPr>
            <w:tcW w:w="3192" w:type="dxa"/>
          </w:tcPr>
          <w:p w:rsidR="003159B4" w:rsidRDefault="003159B4" w:rsidP="000D6EA2">
            <w:r>
              <w:t>Potentiometer</w:t>
            </w:r>
          </w:p>
        </w:tc>
        <w:tc>
          <w:tcPr>
            <w:tcW w:w="3192" w:type="dxa"/>
          </w:tcPr>
          <w:p w:rsidR="003159B4" w:rsidRDefault="003159B4" w:rsidP="000D6EA2">
            <w:r>
              <w:t>0.60</w:t>
            </w:r>
          </w:p>
        </w:tc>
      </w:tr>
      <w:tr w:rsidR="003159B4" w:rsidTr="004920FC">
        <w:tc>
          <w:tcPr>
            <w:tcW w:w="3192" w:type="dxa"/>
          </w:tcPr>
          <w:p w:rsidR="003159B4" w:rsidRDefault="003159B4" w:rsidP="000D6EA2">
            <w:r>
              <w:t>XBEE</w:t>
            </w:r>
          </w:p>
        </w:tc>
        <w:tc>
          <w:tcPr>
            <w:tcW w:w="3192" w:type="dxa"/>
          </w:tcPr>
          <w:p w:rsidR="003159B4" w:rsidRDefault="003159B4" w:rsidP="000D6EA2">
            <w:r>
              <w:t>20.95</w:t>
            </w:r>
          </w:p>
        </w:tc>
      </w:tr>
    </w:tbl>
    <w:p w:rsidR="003159B4" w:rsidRDefault="003159B4" w:rsidP="000D6EA2">
      <w:pPr>
        <w:spacing w:after="0"/>
        <w:rPr>
          <w:sz w:val="16"/>
          <w:szCs w:val="16"/>
        </w:rPr>
      </w:pPr>
      <w:r w:rsidRPr="0042327E">
        <w:rPr>
          <w:sz w:val="16"/>
          <w:szCs w:val="16"/>
        </w:rPr>
        <w:t>Table 1: Hardware cost breakdown for a single VOC monitor</w:t>
      </w:r>
    </w:p>
    <w:p w:rsidR="000D6EA2" w:rsidRDefault="003159B4" w:rsidP="000D6EA2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*  Sensor</w:t>
      </w:r>
      <w:proofErr w:type="gramEnd"/>
      <w:r>
        <w:rPr>
          <w:sz w:val="16"/>
          <w:szCs w:val="16"/>
        </w:rPr>
        <w:t xml:space="preserve"> cost varies depending upon VOC                </w:t>
      </w:r>
    </w:p>
    <w:p w:rsidR="000D6EA2" w:rsidRPr="000D6EA2" w:rsidRDefault="003159B4" w:rsidP="000D6EA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159B4" w:rsidRPr="00274CDF" w:rsidRDefault="00360048" w:rsidP="003C597F">
      <w:pPr>
        <w:rPr>
          <w:lang w:eastAsia="ja-JP"/>
        </w:rPr>
      </w:pPr>
      <w:r>
        <w:rPr>
          <w:lang w:eastAsia="ja-JP"/>
        </w:rPr>
        <w:t xml:space="preserve">The system will be ready for deployment in three months. </w:t>
      </w:r>
      <w:r w:rsidR="003159B4">
        <w:t>The one time, man hour cost, for VOC System is $</w:t>
      </w:r>
      <w:r>
        <w:t>4,704</w:t>
      </w:r>
      <w:r w:rsidR="003159B4">
        <w:t xml:space="preserve">. </w:t>
      </w:r>
      <w:r w:rsidR="0041613A">
        <w:rPr>
          <w:lang w:eastAsia="ja-JP"/>
        </w:rPr>
        <w:t>Web a</w:t>
      </w:r>
      <w:r w:rsidR="003159B4">
        <w:rPr>
          <w:lang w:eastAsia="ja-JP"/>
        </w:rPr>
        <w:t xml:space="preserve">pplication </w:t>
      </w:r>
      <w:r>
        <w:rPr>
          <w:lang w:eastAsia="ja-JP"/>
        </w:rPr>
        <w:t>will be maintained by the VOC Systems team</w:t>
      </w:r>
      <w:r w:rsidR="0041613A">
        <w:rPr>
          <w:lang w:eastAsia="ja-JP"/>
        </w:rPr>
        <w:t xml:space="preserve"> for an </w:t>
      </w:r>
      <w:r>
        <w:rPr>
          <w:lang w:eastAsia="ja-JP"/>
        </w:rPr>
        <w:t>estimated at 2 hours a week for a t</w:t>
      </w:r>
      <w:r w:rsidR="003159B4">
        <w:rPr>
          <w:lang w:eastAsia="ja-JP"/>
        </w:rPr>
        <w:t>otal</w:t>
      </w:r>
      <w:r>
        <w:rPr>
          <w:lang w:eastAsia="ja-JP"/>
        </w:rPr>
        <w:t xml:space="preserve"> monthly c</w:t>
      </w:r>
      <w:r w:rsidR="003159B4">
        <w:rPr>
          <w:lang w:eastAsia="ja-JP"/>
        </w:rPr>
        <w:t>ost</w:t>
      </w:r>
      <w:r>
        <w:rPr>
          <w:lang w:eastAsia="ja-JP"/>
        </w:rPr>
        <w:t xml:space="preserve"> of $157. The </w:t>
      </w:r>
      <w:r w:rsidR="000D6EA2">
        <w:rPr>
          <w:lang w:eastAsia="ja-JP"/>
        </w:rPr>
        <w:t>installation and customer training</w:t>
      </w:r>
      <w:r>
        <w:rPr>
          <w:lang w:eastAsia="ja-JP"/>
        </w:rPr>
        <w:t xml:space="preserve"> will take four hours for a total cost of $78 dollars per system.</w:t>
      </w:r>
    </w:p>
    <w:p w:rsidR="003159B4" w:rsidRDefault="003159B4" w:rsidP="003159B4">
      <w:pPr>
        <w:rPr>
          <w:lang w:eastAsia="ja-JP"/>
        </w:rPr>
      </w:pPr>
      <w:r>
        <w:rPr>
          <w:lang w:eastAsia="ja-JP"/>
        </w:rPr>
        <w:t xml:space="preserve">In order to reduce the cost of the overall system, the VOC Monitoring system will come in packages that have include a deposit and monthly fee.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86"/>
        <w:gridCol w:w="2394"/>
        <w:gridCol w:w="2394"/>
      </w:tblGrid>
      <w:tr w:rsidR="003C597F" w:rsidTr="000D6EA2">
        <w:tc>
          <w:tcPr>
            <w:tcW w:w="2286" w:type="dxa"/>
          </w:tcPr>
          <w:p w:rsidR="003C597F" w:rsidRDefault="003C597F" w:rsidP="004920FC">
            <w:pPr>
              <w:rPr>
                <w:lang w:eastAsia="ja-JP"/>
              </w:rPr>
            </w:pPr>
            <w:r>
              <w:rPr>
                <w:lang w:eastAsia="ja-JP"/>
              </w:rPr>
              <w:t>Package Type</w:t>
            </w:r>
          </w:p>
        </w:tc>
        <w:tc>
          <w:tcPr>
            <w:tcW w:w="2394" w:type="dxa"/>
          </w:tcPr>
          <w:p w:rsidR="003C597F" w:rsidRDefault="003C597F" w:rsidP="004920FC">
            <w:pPr>
              <w:rPr>
                <w:lang w:eastAsia="ja-JP"/>
              </w:rPr>
            </w:pPr>
            <w:r>
              <w:rPr>
                <w:lang w:eastAsia="ja-JP"/>
              </w:rPr>
              <w:t>Deposit</w:t>
            </w:r>
          </w:p>
        </w:tc>
        <w:tc>
          <w:tcPr>
            <w:tcW w:w="2394" w:type="dxa"/>
          </w:tcPr>
          <w:p w:rsidR="003C597F" w:rsidRDefault="003C597F" w:rsidP="004920FC">
            <w:pPr>
              <w:rPr>
                <w:lang w:eastAsia="ja-JP"/>
              </w:rPr>
            </w:pPr>
            <w:r>
              <w:rPr>
                <w:lang w:eastAsia="ja-JP"/>
              </w:rPr>
              <w:t>Monthly Fee</w:t>
            </w:r>
          </w:p>
        </w:tc>
      </w:tr>
      <w:tr w:rsidR="003C597F" w:rsidTr="000D6EA2">
        <w:tc>
          <w:tcPr>
            <w:tcW w:w="2286" w:type="dxa"/>
          </w:tcPr>
          <w:p w:rsidR="003C597F" w:rsidRDefault="003C597F" w:rsidP="004920FC">
            <w:pPr>
              <w:rPr>
                <w:lang w:eastAsia="ja-JP"/>
              </w:rPr>
            </w:pPr>
            <w:r>
              <w:rPr>
                <w:lang w:eastAsia="ja-JP"/>
              </w:rPr>
              <w:t>Small System</w:t>
            </w:r>
          </w:p>
        </w:tc>
        <w:tc>
          <w:tcPr>
            <w:tcW w:w="2394" w:type="dxa"/>
          </w:tcPr>
          <w:p w:rsidR="003C597F" w:rsidRDefault="003C597F" w:rsidP="004920FC">
            <w:p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  <w:tc>
          <w:tcPr>
            <w:tcW w:w="2394" w:type="dxa"/>
          </w:tcPr>
          <w:p w:rsidR="003C597F" w:rsidRDefault="003C597F" w:rsidP="004920FC">
            <w:pPr>
              <w:rPr>
                <w:lang w:eastAsia="ja-JP"/>
              </w:rPr>
            </w:pPr>
            <w:r>
              <w:rPr>
                <w:lang w:eastAsia="ja-JP"/>
              </w:rPr>
              <w:t>75</w:t>
            </w:r>
          </w:p>
        </w:tc>
      </w:tr>
      <w:tr w:rsidR="003C597F" w:rsidTr="000D6EA2">
        <w:tc>
          <w:tcPr>
            <w:tcW w:w="2286" w:type="dxa"/>
          </w:tcPr>
          <w:p w:rsidR="003C597F" w:rsidRDefault="003C597F" w:rsidP="004920FC">
            <w:pPr>
              <w:rPr>
                <w:lang w:eastAsia="ja-JP"/>
              </w:rPr>
            </w:pPr>
            <w:r>
              <w:rPr>
                <w:lang w:eastAsia="ja-JP"/>
              </w:rPr>
              <w:t>Large System</w:t>
            </w:r>
          </w:p>
        </w:tc>
        <w:tc>
          <w:tcPr>
            <w:tcW w:w="2394" w:type="dxa"/>
          </w:tcPr>
          <w:p w:rsidR="003C597F" w:rsidRDefault="003C597F" w:rsidP="004920FC">
            <w:pPr>
              <w:rPr>
                <w:lang w:eastAsia="ja-JP"/>
              </w:rPr>
            </w:pPr>
            <w:r>
              <w:rPr>
                <w:lang w:eastAsia="ja-JP"/>
              </w:rPr>
              <w:t>200</w:t>
            </w:r>
          </w:p>
        </w:tc>
        <w:tc>
          <w:tcPr>
            <w:tcW w:w="2394" w:type="dxa"/>
          </w:tcPr>
          <w:p w:rsidR="003C597F" w:rsidRDefault="003C597F" w:rsidP="004920FC">
            <w:p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</w:tr>
    </w:tbl>
    <w:p w:rsidR="003159B4" w:rsidRDefault="003C597F" w:rsidP="003159B4">
      <w:pPr>
        <w:spacing w:after="0"/>
        <w:rPr>
          <w:sz w:val="16"/>
          <w:szCs w:val="16"/>
        </w:rPr>
      </w:pPr>
      <w:r w:rsidRPr="0042327E">
        <w:rPr>
          <w:sz w:val="16"/>
          <w:szCs w:val="16"/>
        </w:rPr>
        <w:t xml:space="preserve">Table 1: </w:t>
      </w:r>
      <w:r>
        <w:rPr>
          <w:sz w:val="16"/>
          <w:szCs w:val="16"/>
        </w:rPr>
        <w:t>Monthly</w:t>
      </w:r>
      <w:r w:rsidRPr="0042327E">
        <w:rPr>
          <w:sz w:val="16"/>
          <w:szCs w:val="16"/>
        </w:rPr>
        <w:t xml:space="preserve"> cost breakdown </w:t>
      </w:r>
      <w:r>
        <w:rPr>
          <w:sz w:val="16"/>
          <w:szCs w:val="16"/>
        </w:rPr>
        <w:t>for system sizes</w:t>
      </w:r>
      <w:r>
        <w:rPr>
          <w:sz w:val="16"/>
          <w:szCs w:val="16"/>
        </w:rPr>
        <w:t xml:space="preserve">     </w:t>
      </w:r>
    </w:p>
    <w:p w:rsidR="003C597F" w:rsidRPr="003C597F" w:rsidRDefault="003C597F" w:rsidP="003159B4">
      <w:pPr>
        <w:spacing w:after="0"/>
        <w:rPr>
          <w:sz w:val="16"/>
          <w:szCs w:val="16"/>
        </w:rPr>
      </w:pPr>
    </w:p>
    <w:p w:rsidR="0041613A" w:rsidRDefault="003C597F" w:rsidP="003C597F">
      <w:pPr>
        <w:spacing w:after="0"/>
      </w:pPr>
      <w:r>
        <w:t>For the start-up system</w:t>
      </w:r>
      <w:r w:rsidR="000D6EA2">
        <w:t>,</w:t>
      </w:r>
      <w:r w:rsidR="003159B4">
        <w:t xml:space="preserve"> there will be five large systems and five small system</w:t>
      </w:r>
      <w:r>
        <w:t>s</w:t>
      </w:r>
      <w:r w:rsidR="003159B4">
        <w:t xml:space="preserve"> deployed. The total </w:t>
      </w:r>
      <w:r w:rsidR="001102B4">
        <w:t xml:space="preserve">onetime </w:t>
      </w:r>
      <w:r w:rsidR="003159B4">
        <w:t xml:space="preserve">cost of the VOC monitors and </w:t>
      </w:r>
      <w:r>
        <w:t xml:space="preserve">installation will be </w:t>
      </w:r>
      <w:r w:rsidR="001102B4">
        <w:t>$5,214</w:t>
      </w:r>
      <w:r w:rsidR="003159B4">
        <w:t>.</w:t>
      </w:r>
      <w:r w:rsidR="001102B4">
        <w:t xml:space="preserve"> The yearly upkee</w:t>
      </w:r>
      <w:r>
        <w:t xml:space="preserve">p and sole expense of these systems will be $1,884. </w:t>
      </w:r>
      <w:r w:rsidR="001102B4">
        <w:t>The one time profit from this example is $1,500. The yearly income from monthly payments is $10,</w:t>
      </w:r>
      <w:r>
        <w:t xml:space="preserve">500. The profit from the first year of deployment is $4,902. The profit from the following year will be $8,616. </w:t>
      </w:r>
      <w:r w:rsidR="001102B4">
        <w:t xml:space="preserve"> </w:t>
      </w:r>
    </w:p>
    <w:p w:rsidR="0041613A" w:rsidRDefault="0041613A" w:rsidP="003C597F">
      <w:pPr>
        <w:spacing w:after="0"/>
      </w:pPr>
    </w:p>
    <w:p w:rsidR="001102B4" w:rsidRDefault="0041613A" w:rsidP="003C597F">
      <w:pPr>
        <w:spacing w:after="0"/>
      </w:pPr>
      <w:r>
        <w:t>VOC Systems is r</w:t>
      </w:r>
      <w:r w:rsidR="003C597F">
        <w:t>equesting $12,00</w:t>
      </w:r>
      <w:r>
        <w:t>0</w:t>
      </w:r>
      <w:r w:rsidR="003C597F">
        <w:t xml:space="preserve"> dollars </w:t>
      </w:r>
      <w:r w:rsidR="000D6EA2">
        <w:t>man-</w:t>
      </w:r>
      <w:r w:rsidR="003C597F">
        <w:t>hour cost</w:t>
      </w:r>
      <w:r>
        <w:t>s</w:t>
      </w:r>
      <w:r w:rsidR="000D6EA2">
        <w:t xml:space="preserve">, </w:t>
      </w:r>
      <w:r w:rsidR="003C597F">
        <w:t>creating for five large systems and five small systems, and a year’s worth of ma</w:t>
      </w:r>
      <w:r>
        <w:t>in</w:t>
      </w:r>
      <w:r w:rsidR="003C597F">
        <w:t>te</w:t>
      </w:r>
      <w:r>
        <w:t xml:space="preserve">nance fees. </w:t>
      </w:r>
    </w:p>
    <w:p w:rsidR="003159B4" w:rsidRDefault="003159B4" w:rsidP="003159B4"/>
    <w:p w:rsidR="008F10BC" w:rsidRDefault="008F10BC">
      <w:bookmarkStart w:id="0" w:name="_GoBack"/>
      <w:bookmarkEnd w:id="0"/>
    </w:p>
    <w:sectPr w:rsidR="008F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0BC"/>
    <w:rsid w:val="00080274"/>
    <w:rsid w:val="000D6EA2"/>
    <w:rsid w:val="001102B4"/>
    <w:rsid w:val="003159B4"/>
    <w:rsid w:val="00360048"/>
    <w:rsid w:val="003C597F"/>
    <w:rsid w:val="0041613A"/>
    <w:rsid w:val="00473AE0"/>
    <w:rsid w:val="004B4E44"/>
    <w:rsid w:val="005E434E"/>
    <w:rsid w:val="007D07F8"/>
    <w:rsid w:val="00820971"/>
    <w:rsid w:val="008659BC"/>
    <w:rsid w:val="008F10BC"/>
    <w:rsid w:val="009010A2"/>
    <w:rsid w:val="009E5127"/>
    <w:rsid w:val="00A97670"/>
    <w:rsid w:val="00B849B5"/>
    <w:rsid w:val="00D6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59B4"/>
    <w:pPr>
      <w:keepNext/>
      <w:keepLines/>
      <w:spacing w:before="160" w:after="0" w:line="300" w:lineRule="auto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159B4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315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59B4"/>
    <w:pPr>
      <w:keepNext/>
      <w:keepLines/>
      <w:spacing w:before="160" w:after="0" w:line="300" w:lineRule="auto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159B4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315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Thyanna</dc:creator>
  <cp:lastModifiedBy>Thyanna</cp:lastModifiedBy>
  <cp:revision>9</cp:revision>
  <dcterms:created xsi:type="dcterms:W3CDTF">2014-02-25T19:57:00Z</dcterms:created>
  <dcterms:modified xsi:type="dcterms:W3CDTF">2014-02-27T19:54:00Z</dcterms:modified>
</cp:coreProperties>
</file>