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lineRule="auto"/>
        <w:rPr>
          <w:rFonts w:ascii="Helvetica Neue" w:cs="Helvetica Neue" w:eastAsia="Helvetica Neue" w:hAnsi="Helvetica Neue"/>
          <w:b w:val="1"/>
          <w:color w:val="2d3c45"/>
          <w:sz w:val="26"/>
          <w:szCs w:val="2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4"/>
          <w:szCs w:val="24"/>
          <w:u w:val="single"/>
          <w:rtl w:val="0"/>
        </w:rPr>
        <w:t xml:space="preserve">Group 24 : Ng Wei Han, Dylan Wo, Kenny Low, Khoo Wu Chuan, Jeyakumar Jegan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rFonts w:ascii="Helvetica Neue" w:cs="Helvetica Neue" w:eastAsia="Helvetica Neue" w:hAnsi="Helvetica Neue"/>
          <w:b w:val="1"/>
          <w:color w:val="2d3c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4"/>
          <w:szCs w:val="24"/>
          <w:rtl w:val="0"/>
        </w:rPr>
        <w:t xml:space="preserve">Motivation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Social Implication: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hd w:fill="ffffff" w:val="clear"/>
        <w:spacing w:after="0" w:afterAutospacing="0" w:line="240" w:lineRule="auto"/>
        <w:ind w:left="144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Improved Security: Fraud detection helps increase the security of credit card transactions, preventing financial hardship and stress for customers.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hd w:fill="ffffff" w:val="clear"/>
        <w:spacing w:after="0" w:afterAutospacing="0" w:line="240" w:lineRule="auto"/>
        <w:ind w:left="144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Trust in Financial Systems: When customers feel secure in their transactions, they are more likely to continue using credit cards that provide convenience to both customers and merchants.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Business Implication: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hd w:fill="ffffff" w:val="clear"/>
        <w:spacing w:after="0" w:afterAutospacing="0" w:line="240" w:lineRule="auto"/>
        <w:ind w:left="144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Loss Prevention: Fraud detection is able prevent any fraudulent transactions from going through, safeguarding customers’ bank accounts.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hd w:fill="ffffff" w:val="clear"/>
        <w:spacing w:after="0" w:afterAutospacing="0" w:line="240" w:lineRule="auto"/>
        <w:ind w:left="144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Reduce Costs: Being able to detect fraud automatically can reduce the cost as opposed to if detection was being done manually.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hd w:fill="ffffff" w:val="clear"/>
        <w:spacing w:after="0" w:afterAutospacing="0" w:line="240" w:lineRule="auto"/>
        <w:ind w:left="144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Improved User Experience: Effective fraud detection systems can identify and block fraudulent transactions in real-time, enabling legitimate transactions proceed smoothly, enhancing overall user experience.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hd w:fill="ffffff" w:val="clear"/>
        <w:spacing w:after="100" w:line="240" w:lineRule="auto"/>
        <w:ind w:left="1440" w:hanging="360"/>
        <w:rPr>
          <w:rFonts w:ascii="Helvetica Neue" w:cs="Helvetica Neue" w:eastAsia="Helvetica Neue" w:hAnsi="Helvetica Neue"/>
          <w:color w:val="2d3c45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Brand Reputation: A business with strong security measures and low fraud risk will have a positive brand reputation, attracting more customers and partners.</w:t>
      </w:r>
    </w:p>
    <w:p w:rsidR="00000000" w:rsidDel="00000000" w:rsidP="00000000" w:rsidRDefault="00000000" w:rsidRPr="00000000" w14:paraId="0000000B">
      <w:pPr>
        <w:shd w:fill="ffffff" w:val="clear"/>
        <w:spacing w:after="100" w:line="240" w:lineRule="auto"/>
        <w:ind w:left="0" w:firstLine="0"/>
        <w:rPr>
          <w:rFonts w:ascii="Helvetica Neue" w:cs="Helvetica Neue" w:eastAsia="Helvetica Neue" w:hAnsi="Helvetica Neue"/>
          <w:color w:val="2d3c45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rFonts w:ascii="Helvetica Neue" w:cs="Helvetica Neue" w:eastAsia="Helvetica Neue" w:hAnsi="Helvetica Neue"/>
          <w:b w:val="1"/>
          <w:color w:val="2d3c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D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u w:val="single"/>
          <w:rtl w:val="0"/>
        </w:rPr>
        <w:t xml:space="preserve">Source: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https://www.kaggle.com/datasets/kartik2112/fraud-detection/data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Real credit card transaction datasets often contain sensitive and personal information, which makes it extremely challenging to find a public credit card transaction dataset. Therefore, we decided to make use of a simulated credit card transaction dataset generated using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Sparkov Data Generation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2d3c45"/>
        </w:rPr>
      </w:pPr>
      <w:r w:rsidDel="00000000" w:rsidR="00000000" w:rsidRPr="00000000">
        <w:rPr>
          <w:rFonts w:ascii="Helvetica Neue" w:cs="Helvetica Neue" w:eastAsia="Helvetica Neue" w:hAnsi="Helvetica Neue"/>
          <w:color w:val="2d3c45"/>
          <w:sz w:val="20"/>
          <w:szCs w:val="20"/>
          <w:rtl w:val="0"/>
        </w:rPr>
        <w:t xml:space="preserve">The dataset contains legitimate and fraud transactions from the duration 1st Jan 2019 - 31st Dec 2020. It covers the credit cards of 1000 customers doing transactions with a pool of 800 merchants. It has a total of 22 columns and 1296675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rFonts w:ascii="Helvetica Neue" w:cs="Helvetica Neue" w:eastAsia="Helvetica Neue" w:hAnsi="Helvetica Neue"/>
          <w:b w:val="1"/>
          <w:color w:val="2d3c45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rFonts w:ascii="Helvetica Neue" w:cs="Helvetica Neue" w:eastAsia="Helvetica Neue" w:hAnsi="Helvetica Neue"/>
          <w:b w:val="1"/>
          <w:color w:val="2d3c45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4"/>
          <w:szCs w:val="24"/>
          <w:rtl w:val="0"/>
        </w:rPr>
        <w:t xml:space="preserve">Data Preprocessing/ML Models</w:t>
      </w:r>
    </w:p>
    <w:p w:rsidR="00000000" w:rsidDel="00000000" w:rsidP="00000000" w:rsidRDefault="00000000" w:rsidRPr="00000000" w14:paraId="00000012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b w:val="1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EDA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Data cleaning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Checking for null values, anomalous values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Checking target imbalance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Target imbalance is apparent in fraud datasets, consider if oversampling / undersampling methods could be used.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Plotting distributions of features for Fraudulent against Non-Fraudulent transactions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Find the notable features that greatly influence whether the transaction is a fraud.</w:t>
      </w:r>
    </w:p>
    <w:p w:rsidR="00000000" w:rsidDel="00000000" w:rsidP="00000000" w:rsidRDefault="00000000" w:rsidRPr="00000000" w14:paraId="00000016">
      <w:pPr>
        <w:shd w:fill="ffffff" w:val="clear"/>
        <w:spacing w:after="100" w:line="240" w:lineRule="auto"/>
        <w:ind w:left="0" w:firstLine="0"/>
        <w:rPr>
          <w:rFonts w:ascii="Helvetica Neue" w:cs="Helvetica Neue" w:eastAsia="Helvetica Neue" w:hAnsi="Helvetica Neue"/>
          <w:b w:val="1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Feature Engineering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Observe the amount of categorical features in the dataset, decide whether to encode them, disclude them etc.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Normalization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Check if features need to be normalized / have their distributions transformed.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10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ML modeling for feature importance 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→ PCA / Random Forest etc.</w:t>
      </w:r>
    </w:p>
    <w:p w:rsidR="00000000" w:rsidDel="00000000" w:rsidP="00000000" w:rsidRDefault="00000000" w:rsidRPr="00000000" w14:paraId="0000001A">
      <w:pPr>
        <w:shd w:fill="ffffff" w:val="clear"/>
        <w:spacing w:after="100" w:line="240" w:lineRule="auto"/>
        <w:ind w:left="0" w:firstLine="0"/>
        <w:rPr>
          <w:rFonts w:ascii="Helvetica Neue" w:cs="Helvetica Neue" w:eastAsia="Helvetica Neue" w:hAnsi="Helvetica Neue"/>
          <w:b w:val="1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Implementing ML models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Implementation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Random Forest / XGBoost / LightGBM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100" w:line="240" w:lineRule="auto"/>
        <w:ind w:left="720" w:hanging="360"/>
        <w:rPr>
          <w:rFonts w:ascii="Helvetica Neue" w:cs="Helvetica Neue" w:eastAsia="Helvetica Neue" w:hAnsi="Helvetica Neue"/>
          <w:color w:val="2d3c45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c45"/>
          <w:sz w:val="20"/>
          <w:szCs w:val="20"/>
          <w:rtl w:val="0"/>
        </w:rPr>
        <w:t xml:space="preserve">Evaluation methods</w:t>
      </w:r>
      <w:r w:rsidDel="00000000" w:rsidR="00000000" w:rsidRPr="00000000">
        <w:rPr>
          <w:rFonts w:ascii="Arial Unicode MS" w:cs="Arial Unicode MS" w:eastAsia="Arial Unicode MS" w:hAnsi="Arial Unicode MS"/>
          <w:color w:val="2d3c45"/>
          <w:sz w:val="20"/>
          <w:szCs w:val="20"/>
          <w:rtl w:val="0"/>
        </w:rPr>
        <w:t xml:space="preserve"> → ROC / Confusion Matrix (F1 Score, Recall etc.)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artik2112/fraud-detection/data" TargetMode="External"/><Relationship Id="rId7" Type="http://schemas.openxmlformats.org/officeDocument/2006/relationships/hyperlink" Target="https://github.com/namebrandon/Sparkov_Data_Gene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