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t xml:space="preserve">Запишем систему в виде:</w:t>
      </w:r>
    </w:p>
    <w:p>
      <m:oMathPara>
        <m:oMath>
          <m:d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t>1,24</m:t>
                    </m:r>
                  </m:e>
                  <m:e>
                    <m:r>
                      <m:t>-0,87</m:t>
                    </m:r>
                  </m:e>
                  <m:e>
                    <m:r>
                      <m:t>-3,17</m:t>
                    </m:r>
                  </m:e>
                </m:mr>
                <m:mr>
                  <m:e>
                    <m:r>
                      <m:t>2,11</m:t>
                    </m:r>
                  </m:e>
                  <m:e>
                    <m:r>
                      <m:t>-0,45</m:t>
                    </m:r>
                  </m:e>
                  <m:e>
                    <m:r>
                      <m:t>1,44</m:t>
                    </m:r>
                  </m:e>
                </m:mr>
                <m:mr>
                  <m:e>
                    <m:r>
                      <m:t>0,48</m:t>
                    </m:r>
                  </m:e>
                  <m:e>
                    <m:r>
                      <m:t>1,25</m:t>
                    </m:r>
                  </m:e>
                  <m:e>
                    <m:r>
                      <m:t>-0,63</m:t>
                    </m:r>
                  </m:e>
                </m:mr>
              </m:m>
            </m:e>
          </m:d>
          <m:r>
            <m:t> = </m:t>
          </m:r>
          <m:d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t>0,46</m:t>
                    </m:r>
                  </m:e>
                </m:mr>
                <m:mr>
                  <m:e>
                    <m:r>
                      <m:t>1,5</m:t>
                    </m:r>
                  </m:e>
                </m:mr>
                <m:mr>
                  <m:e>
                    <m:r>
                      <m:t>0,35</m:t>
                    </m:r>
                  </m:e>
                </m:mr>
              </m:m>
            </m:e>
          </m:d>
        </m:oMath>
      </m:oMathPara>
    </w:p>
    <w:p>
      <w:pPr>
        <w:pStyle w:val="pStyle"/>
      </w:pPr>
      <w:r>
        <w:t xml:space="preserve">Последовательно будем выбирать разрешающий элемент РЭ, который лежит на главной диагонали матрицы.</w:t>
      </w:r>
    </w:p>
    <w:p>
      <w:pPr>
        <w:pStyle w:val="pStyle"/>
      </w:pPr>
      <w:r>
        <w:t xml:space="preserve">Разрешающий элемент равен (1.24). На месте разрешающего элемента получаем 1, а в самом столбце  записываем нули. Все остальные элементы матрицы, включая элементы столбца B, определяются по правилу прямоугольника.</w:t>
      </w:r>
    </w:p>
    <w:p>
      <w:pPr>
        <w:pStyle w:val="pStyle"/>
      </w:pPr>
      <w:r>
        <w:t xml:space="preserve">Для этого выбираем четыре числа, которые расположены в вершинах прямоугольника и всегда включают разрешающий элемент РЭ.</w:t>
      </w:r>
    </w:p>
    <w:p>
      <w:pPr>
        <w:pStyle w:val="pStyle"/>
      </w:pPr>
      <w:r>
        <w:t xml:space="preserve">НЭ = СЭ - (А∙В)/РЭ</w:t>
      </w:r>
    </w:p>
    <w:p>
      <w:pPr>
        <w:pStyle w:val="pStyle"/>
      </w:pPr>
      <w:r>
        <w:t xml:space="preserve">РЭ - разрешающий элемент (1.24), А и В - элементы матрицы, образующие прямоугольник с элементами СТЭ и РЭ.</w:t>
      </w:r>
    </w:p>
    <w:p>
      <w:pPr>
        <w:pStyle w:val="pStyle"/>
      </w:pPr>
      <w:r>
        <w:t xml:space="preserve">Представим расчет каждого элемента в виде таблицы:</w:t>
      </w:r>
    </w:p>
    <w:tbl>
      <w:tblPr>
        <w:tblStyle w:val="myOwnTableStyle"/>
        <w:jc w:val="center"/>
      </w:tblPr>
      <w:tr>
        <w:tc>
          <w:tcPr>
            <w:tcW w:w="2000" w:type="dxa"/>
          </w:tcPr>
          <w:p>
            <w:r>
              <w:t xml:space="preserve">x</w:t>
            </w:r>
            <w:r>
              <w:rPr>
                <w:vertAlign w:val="subscript"/>
              </w:rPr>
              <w:t>1</w:t>
            </w:r>
          </w:p>
        </w:tc>
        <w:tc>
          <w:tcPr>
            <w:tcW w:w="2000" w:type="dxa"/>
          </w:tcPr>
          <w:p>
            <w:r>
              <w:t xml:space="preserve">x</w:t>
            </w:r>
            <w:r>
              <w:rPr>
                <w:vertAlign w:val="subscript"/>
              </w:rPr>
              <w:t>2</w:t>
            </w:r>
          </w:p>
        </w:tc>
        <w:tc>
          <w:tcPr>
            <w:tcW w:w="2000" w:type="dxa"/>
          </w:tcPr>
          <w:p>
            <w:r>
              <w:t xml:space="preserve">x</w:t>
            </w:r>
            <w:r>
              <w:rPr>
                <w:vertAlign w:val="subscript"/>
              </w:rPr>
              <w:t>3</w:t>
            </w:r>
          </w:p>
        </w:tc>
        <w:tc>
          <w:tcPr>
            <w:tcW w:w="2000" w:type="dxa"/>
          </w:tcPr>
          <w:p>
            <w:r>
              <w:t xml:space="preserve">B</w:t>
            </w:r>
          </w:p>
        </w:tc>
      </w:tr>
      <w:tr>
        <w:tc>
          <w:tcPr>
            <w:tcW w:w="2000" w:type="dxa"/>
          </w:tcPr>
          <w:p>
            <w:r>
              <w:t xml:space="preserve">1.24 / 1.24 = 1</w:t>
            </w:r>
          </w:p>
        </w:tc>
        <w:tc>
          <w:tcPr>
            <w:tcW w:w="2000" w:type="dxa"/>
          </w:tcPr>
          <w:p>
            <w:r>
              <w:t xml:space="preserve">-0.87 / 1.24 = -0.7</w:t>
            </w:r>
          </w:p>
        </w:tc>
        <w:tc>
          <w:tcPr>
            <w:tcW w:w="2000" w:type="dxa"/>
          </w:tcPr>
          <w:p>
            <w:r>
              <w:t xml:space="preserve">-3.17 / 1.24 = -2.56</w:t>
            </w:r>
          </w:p>
        </w:tc>
        <w:tc>
          <w:tcPr>
            <w:tcW w:w="2000" w:type="dxa"/>
          </w:tcPr>
          <w:p>
            <w:r>
              <w:t xml:space="preserve">0.46 / 1.24 = 0.37</w:t>
            </w:r>
          </w:p>
        </w:tc>
      </w:tr>
      <w:tr>
        <w:tc>
          <w:tcPr>
            <w:tcW w:w="2000" w:type="dxa"/>
          </w:tcPr>
          <w:p>
            <m:oMathPara>
              <m:oMath>
                <m:r>
                  <m:t>2.11-</m:t>
                </m:r>
                <m:f>
                  <m:num>
                    <m:r>
                      <m:t>1.24 • 2.11</m:t>
                    </m:r>
                  </m:num>
                  <m:den>
                    <m:r>
                      <m:t>1.24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0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-0.45-</m:t>
                </m:r>
                <m:f>
                  <m:num>
                    <m:r>
                      <m:t>-0.87 • 2.11</m:t>
                    </m:r>
                  </m:num>
                  <m:den>
                    <m:r>
                      <m:t>1.24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1.03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1.44-</m:t>
                </m:r>
                <m:f>
                  <m:num>
                    <m:r>
                      <m:t>-3.17 • 2.11</m:t>
                    </m:r>
                  </m:num>
                  <m:den>
                    <m:r>
                      <m:t>1.24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6.83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1.5-</m:t>
                </m:r>
                <m:f>
                  <m:num>
                    <m:r>
                      <m:t>0.46 • 2.11</m:t>
                    </m:r>
                  </m:num>
                  <m:den>
                    <m:r>
                      <m:t>1.24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0.72</m:t>
                </m:r>
              </m:oMath>
            </m:oMathPara>
          </w:p>
        </w:tc>
      </w:tr>
      <w:tr>
        <w:tc>
          <w:tcPr>
            <w:tcW w:w="2000" w:type="dxa"/>
          </w:tcPr>
          <w:p>
            <m:oMathPara>
              <m:oMath>
                <m:r>
                  <m:t>0.48-</m:t>
                </m:r>
                <m:f>
                  <m:num>
                    <m:r>
                      <m:t>1.24 • 0.48</m:t>
                    </m:r>
                  </m:num>
                  <m:den>
                    <m:r>
                      <m:t>1.24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0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1.25-</m:t>
                </m:r>
                <m:f>
                  <m:num>
                    <m:r>
                      <m:t>-0.87 • 0.48</m:t>
                    </m:r>
                  </m:num>
                  <m:den>
                    <m:r>
                      <m:t>1.24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1.59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-0.63-</m:t>
                </m:r>
                <m:f>
                  <m:num>
                    <m:r>
                      <m:t>-3.17 • 0.48</m:t>
                    </m:r>
                  </m:num>
                  <m:den>
                    <m:r>
                      <m:t>1.24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0.6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0.35-</m:t>
                </m:r>
                <m:f>
                  <m:num>
                    <m:r>
                      <m:t>0.46 • 0.48</m:t>
                    </m:r>
                  </m:num>
                  <m:den>
                    <m:r>
                      <m:t>1.24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0.17</m:t>
                </m:r>
              </m:oMath>
            </m:oMathPara>
          </w:p>
        </w:tc>
      </w:tr>
    </w:tbl>
    <w:p>
      <w:pPr>
        <w:pStyle w:val="pStyle"/>
      </w:pPr>
      <w:r>
        <w:t xml:space="preserve">В итоге получаем:</w:t>
      </w:r>
    </w:p>
    <w:p>
      <m:oMathPara>
        <m:oMath>
          <m:d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t>1</m:t>
                    </m:r>
                  </m:e>
                  <m:e>
                    <m:r>
                      <m:t>-0,702</m:t>
                    </m:r>
                  </m:e>
                  <m:e>
                    <m:r>
                      <m:t>-2,556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1,03</m:t>
                    </m:r>
                  </m:e>
                  <m:e>
                    <m:r>
                      <m:t>6,834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1,587</m:t>
                    </m:r>
                  </m:e>
                  <m:e>
                    <m:r>
                      <m:t>0,597</m:t>
                    </m:r>
                  </m:e>
                </m:mr>
              </m:m>
            </m:e>
          </m:d>
          <m:r>
            <m:t> = </m:t>
          </m:r>
          <m:d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t>0,371</m:t>
                    </m:r>
                  </m:e>
                </m:mr>
                <m:mr>
                  <m:e>
                    <m:r>
                      <m:t>0,717</m:t>
                    </m:r>
                  </m:e>
                </m:mr>
                <m:mr>
                  <m:e>
                    <m:r>
                      <m:t>0,172</m:t>
                    </m:r>
                  </m:e>
                </m:mr>
              </m:m>
            </m:e>
          </m:d>
        </m:oMath>
      </m:oMathPara>
    </w:p>
    <w:p>
      <w:pPr>
        <w:pStyle w:val="pStyle"/>
      </w:pPr>
      <w:r>
        <w:t xml:space="preserve">Разрешающий элемент равен (1.03). На месте разрешающего элемента получаем 1, а в самом столбце  записываем нули. Все остальные элементы матрицы, включая элементы столбца B, определяются по правилу прямоугольника.</w:t>
      </w:r>
    </w:p>
    <w:p>
      <w:pPr>
        <w:pStyle w:val="pStyle"/>
      </w:pPr>
      <w:r>
        <w:t xml:space="preserve">Представим расчет каждого элемента в виде таблицы:</w:t>
      </w:r>
    </w:p>
    <w:tbl>
      <w:tblPr>
        <w:tblStyle w:val="myOwnTableStyle"/>
        <w:jc w:val="center"/>
      </w:tblPr>
      <w:tr>
        <w:tc>
          <w:tcPr>
            <w:tcW w:w="2000" w:type="dxa"/>
          </w:tcPr>
          <w:p>
            <w:r>
              <w:t xml:space="preserve">x</w:t>
            </w:r>
            <w:r>
              <w:rPr>
                <w:vertAlign w:val="subscript"/>
              </w:rPr>
              <w:t>1</w:t>
            </w:r>
          </w:p>
        </w:tc>
        <w:tc>
          <w:tcPr>
            <w:tcW w:w="2000" w:type="dxa"/>
          </w:tcPr>
          <w:p>
            <w:r>
              <w:t xml:space="preserve">x</w:t>
            </w:r>
            <w:r>
              <w:rPr>
                <w:vertAlign w:val="subscript"/>
              </w:rPr>
              <w:t>2</w:t>
            </w:r>
          </w:p>
        </w:tc>
        <w:tc>
          <w:tcPr>
            <w:tcW w:w="2000" w:type="dxa"/>
          </w:tcPr>
          <w:p>
            <w:r>
              <w:t xml:space="preserve">x</w:t>
            </w:r>
            <w:r>
              <w:rPr>
                <w:vertAlign w:val="subscript"/>
              </w:rPr>
              <w:t>3</w:t>
            </w:r>
          </w:p>
        </w:tc>
        <w:tc>
          <w:tcPr>
            <w:tcW w:w="2000" w:type="dxa"/>
          </w:tcPr>
          <w:p>
            <w:r>
              <w:t xml:space="preserve">B</w:t>
            </w:r>
          </w:p>
        </w:tc>
      </w:tr>
      <w:tr>
        <w:tc>
          <w:tcPr>
            <w:tcW w:w="2000" w:type="dxa"/>
          </w:tcPr>
          <w:p>
            <m:oMathPara>
              <m:oMath>
                <m:r>
                  <m:t>1-</m:t>
                </m:r>
                <m:f>
                  <m:num>
                    <m:r>
                      <m:t>0 • (-0.7)</m:t>
                    </m:r>
                  </m:num>
                  <m:den>
                    <m:r>
                      <m:t>1.03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1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-0.7-</m:t>
                </m:r>
                <m:f>
                  <m:num>
                    <m:r>
                      <m:t>1.03 • (-0.7)</m:t>
                    </m:r>
                  </m:num>
                  <m:den>
                    <m:r>
                      <m:t>1.03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-0.00189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-2.56-</m:t>
                </m:r>
                <m:f>
                  <m:num>
                    <m:r>
                      <m:t>6.83 • (-0.7)</m:t>
                    </m:r>
                  </m:num>
                  <m:den>
                    <m:r>
                      <m:t>1.03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2.08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0.37-</m:t>
                </m:r>
                <m:f>
                  <m:num>
                    <m:r>
                      <m:t>0.72 • (-0.7)</m:t>
                    </m:r>
                  </m:num>
                  <m:den>
                    <m:r>
                      <m:t>1.03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0.86</m:t>
                </m:r>
              </m:oMath>
            </m:oMathPara>
          </w:p>
        </w:tc>
      </w:tr>
      <w:tr>
        <w:tc>
          <w:tcPr>
            <w:tcW w:w="2000" w:type="dxa"/>
          </w:tcPr>
          <w:p>
            <w:r>
              <w:t xml:space="preserve">0 / 1.03 = 0</w:t>
            </w:r>
          </w:p>
        </w:tc>
        <w:tc>
          <w:tcPr>
            <w:tcW w:w="2000" w:type="dxa"/>
          </w:tcPr>
          <w:p>
            <w:r>
              <w:t xml:space="preserve">1.03 / 1.03 = 1</w:t>
            </w:r>
          </w:p>
        </w:tc>
        <w:tc>
          <w:tcPr>
            <w:tcW w:w="2000" w:type="dxa"/>
          </w:tcPr>
          <w:p>
            <w:r>
              <w:t xml:space="preserve">6.83 / 1.03 = 6.63</w:t>
            </w:r>
          </w:p>
        </w:tc>
        <w:tc>
          <w:tcPr>
            <w:tcW w:w="2000" w:type="dxa"/>
          </w:tcPr>
          <w:p>
            <w:r>
              <w:t xml:space="preserve">0.72 / 1.03 = 0.7</w:t>
            </w:r>
          </w:p>
        </w:tc>
      </w:tr>
      <w:tr>
        <w:tc>
          <w:tcPr>
            <w:tcW w:w="2000" w:type="dxa"/>
          </w:tcPr>
          <w:p>
            <m:oMathPara>
              <m:oMath>
                <m:r>
                  <m:t>0-</m:t>
                </m:r>
                <m:f>
                  <m:num>
                    <m:r>
                      <m:t>0 • 1.59</m:t>
                    </m:r>
                  </m:num>
                  <m:den>
                    <m:r>
                      <m:t>1.03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0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1.59-</m:t>
                </m:r>
                <m:f>
                  <m:num>
                    <m:r>
                      <m:t>1.03 • 1.59</m:t>
                    </m:r>
                  </m:num>
                  <m:den>
                    <m:r>
                      <m:t>1.03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-0.0026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0.6-</m:t>
                </m:r>
                <m:f>
                  <m:num>
                    <m:r>
                      <m:t>6.83 • 1.59</m:t>
                    </m:r>
                  </m:num>
                  <m:den>
                    <m:r>
                      <m:t>1.03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-9.94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0.17-</m:t>
                </m:r>
                <m:f>
                  <m:num>
                    <m:r>
                      <m:t>0.72 • 1.59</m:t>
                    </m:r>
                  </m:num>
                  <m:den>
                    <m:r>
                      <m:t>1.03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-0.94</m:t>
                </m:r>
              </m:oMath>
            </m:oMathPara>
          </w:p>
        </w:tc>
      </w:tr>
    </w:tbl>
    <w:p>
      <w:pPr>
        <w:pStyle w:val="pStyle"/>
      </w:pPr>
      <w:r>
        <w:t xml:space="preserve">В итоге получаем:</w:t>
      </w:r>
    </w:p>
    <w:p>
      <m:oMathPara>
        <m:oMath>
          <m:d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2,097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6,632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-9,927</m:t>
                    </m:r>
                  </m:e>
                </m:mr>
              </m:m>
            </m:e>
          </m:d>
          <m:r>
            <m:t> = </m:t>
          </m:r>
          <m:d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t>0,859</m:t>
                    </m:r>
                  </m:e>
                </m:mr>
                <m:mr>
                  <m:e>
                    <m:r>
                      <m:t>0,696</m:t>
                    </m:r>
                  </m:e>
                </m:mr>
                <m:mr>
                  <m:e>
                    <m:r>
                      <m:t>-0,933</m:t>
                    </m:r>
                  </m:e>
                </m:mr>
              </m:m>
            </m:e>
          </m:d>
        </m:oMath>
      </m:oMathPara>
    </w:p>
    <w:p>
      <w:pPr>
        <w:pStyle w:val="pStyle"/>
      </w:pPr>
      <w:r>
        <w:t xml:space="preserve">Разрешающий элемент равен (-9.927). На месте разрешающего элемента получаем 1, а в самом столбце  записываем нули. Все остальные элементы матрицы, включая элементы столбца B, определяются по правилу прямоугольника.</w:t>
      </w:r>
    </w:p>
    <w:p>
      <w:pPr>
        <w:pStyle w:val="pStyle"/>
      </w:pPr>
      <w:r>
        <w:t xml:space="preserve">Представим расчет каждого элемента в виде таблицы:</w:t>
      </w:r>
    </w:p>
    <w:tbl>
      <w:tblPr>
        <w:tblStyle w:val="myOwnTableStyle"/>
        <w:jc w:val="center"/>
      </w:tblPr>
      <w:tr>
        <w:tc>
          <w:tcPr>
            <w:tcW w:w="2000" w:type="dxa"/>
          </w:tcPr>
          <w:p>
            <w:r>
              <w:t xml:space="preserve">x</w:t>
            </w:r>
            <w:r>
              <w:rPr>
                <w:vertAlign w:val="subscript"/>
              </w:rPr>
              <w:t>1</w:t>
            </w:r>
          </w:p>
        </w:tc>
        <w:tc>
          <w:tcPr>
            <w:tcW w:w="2000" w:type="dxa"/>
          </w:tcPr>
          <w:p>
            <w:r>
              <w:t xml:space="preserve">x</w:t>
            </w:r>
            <w:r>
              <w:rPr>
                <w:vertAlign w:val="subscript"/>
              </w:rPr>
              <w:t>2</w:t>
            </w:r>
          </w:p>
        </w:tc>
        <w:tc>
          <w:tcPr>
            <w:tcW w:w="2000" w:type="dxa"/>
          </w:tcPr>
          <w:p>
            <w:r>
              <w:t xml:space="preserve">x</w:t>
            </w:r>
            <w:r>
              <w:rPr>
                <w:vertAlign w:val="subscript"/>
              </w:rPr>
              <w:t>3</w:t>
            </w:r>
          </w:p>
        </w:tc>
        <w:tc>
          <w:tcPr>
            <w:tcW w:w="2000" w:type="dxa"/>
          </w:tcPr>
          <w:p>
            <w:r>
              <w:t xml:space="preserve">B</w:t>
            </w:r>
          </w:p>
        </w:tc>
      </w:tr>
      <w:tr>
        <w:tc>
          <w:tcPr>
            <w:tcW w:w="2000" w:type="dxa"/>
          </w:tcPr>
          <w:p>
            <m:oMathPara>
              <m:oMath>
                <m:r>
                  <m:t>1-</m:t>
                </m:r>
                <m:f>
                  <m:num>
                    <m:r>
                      <m:t>0 • 2.1</m:t>
                    </m:r>
                  </m:num>
                  <m:den>
                    <m:r>
                      <m:t>-9.93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1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0-</m:t>
                </m:r>
                <m:f>
                  <m:num>
                    <m:r>
                      <m:t>0 • 2.1</m:t>
                    </m:r>
                  </m:num>
                  <m:den>
                    <m:r>
                      <m:t>-9.93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0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2.1-</m:t>
                </m:r>
                <m:f>
                  <m:num>
                    <m:r>
                      <m:t>-9.93 • 2.1</m:t>
                    </m:r>
                  </m:num>
                  <m:den>
                    <m:r>
                      <m:t>-9.93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-0.00364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0.86-</m:t>
                </m:r>
                <m:f>
                  <m:num>
                    <m:r>
                      <m:t>-0.93 • 2.1</m:t>
                    </m:r>
                  </m:num>
                  <m:den>
                    <m:r>
                      <m:t>-9.93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0.66</m:t>
                </m:r>
              </m:oMath>
            </m:oMathPara>
          </w:p>
        </w:tc>
      </w:tr>
      <w:tr>
        <w:tc>
          <w:tcPr>
            <w:tcW w:w="2000" w:type="dxa"/>
          </w:tcPr>
          <w:p>
            <m:oMathPara>
              <m:oMath>
                <m:r>
                  <m:t>0-</m:t>
                </m:r>
                <m:f>
                  <m:num>
                    <m:r>
                      <m:t>0 • 6.63</m:t>
                    </m:r>
                  </m:num>
                  <m:den>
                    <m:r>
                      <m:t>-9.93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0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1-</m:t>
                </m:r>
                <m:f>
                  <m:num>
                    <m:r>
                      <m:t>0 • 6.63</m:t>
                    </m:r>
                  </m:num>
                  <m:den>
                    <m:r>
                      <m:t>-9.93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1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6.63-</m:t>
                </m:r>
                <m:f>
                  <m:num>
                    <m:r>
                      <m:t>-9.93 • 6.63</m:t>
                    </m:r>
                  </m:num>
                  <m:den>
                    <m:r>
                      <m:t>-9.93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0.000546</m:t>
                </m:r>
              </m:oMath>
            </m:oMathPara>
          </w:p>
        </w:tc>
        <w:tc>
          <w:tcPr>
            <w:tcW w:w="2000" w:type="dxa"/>
          </w:tcPr>
          <w:p>
            <m:oMathPara>
              <m:oMath>
                <m:r>
                  <m:t>0.7-</m:t>
                </m:r>
                <m:f>
                  <m:num>
                    <m:r>
                      <m:t>-0.93 • 6.63</m:t>
                    </m:r>
                  </m:num>
                  <m:den>
                    <m:r>
                      <m:t>-9.93</m:t>
                    </m:r>
                  </m:den>
                </m:f>
              </m:oMath>
            </m:oMathPara>
            <m:oMathPara>
              <m:oMath>
                <m:r>
                  <m:t>=</m:t>
                </m:r>
              </m:oMath>
            </m:oMathPara>
            <m:oMathPara>
              <m:oMath>
                <m:r>
                  <m:t>0.075</m:t>
                </m:r>
              </m:oMath>
            </m:oMathPara>
          </w:p>
        </w:tc>
      </w:tr>
      <w:tr>
        <w:tc>
          <w:tcPr>
            <w:tcW w:w="2000" w:type="dxa"/>
          </w:tcPr>
          <w:p>
            <w:r>
              <w:t xml:space="preserve">0 / -9.93 = 0</w:t>
            </w:r>
          </w:p>
        </w:tc>
        <w:tc>
          <w:tcPr>
            <w:tcW w:w="2000" w:type="dxa"/>
          </w:tcPr>
          <w:p>
            <w:r>
              <w:t xml:space="preserve">0 / -9.93 = 0</w:t>
            </w:r>
          </w:p>
        </w:tc>
        <w:tc>
          <w:tcPr>
            <w:tcW w:w="2000" w:type="dxa"/>
          </w:tcPr>
          <w:p>
            <w:r>
              <w:t xml:space="preserve">-9.93 / -9.93 = 1</w:t>
            </w:r>
          </w:p>
        </w:tc>
        <w:tc>
          <w:tcPr>
            <w:tcW w:w="2000" w:type="dxa"/>
          </w:tcPr>
          <w:p>
            <w:r>
              <w:t xml:space="preserve">-0.93 / -9.93 = 0.0939</w:t>
            </w:r>
          </w:p>
        </w:tc>
      </w:tr>
    </w:tbl>
    <w:p>
      <w:pPr>
        <w:pStyle w:val="pStyle"/>
      </w:pPr>
      <w:r>
        <w:t xml:space="preserve">В итоге получаем:</w:t>
      </w:r>
    </w:p>
    <w:p>
      <m:oMathPara>
        <m:oMath>
          <m:d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  <m:e>
                    <m:r>
                      <m:t>0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t>0</m:t>
                    </m:r>
                  </m:e>
                  <m:e>
                    <m:r>
                      <m:t>1</m:t>
                    </m:r>
                  </m:e>
                </m:mr>
              </m:m>
            </m:e>
          </m:d>
          <m:r>
            <m:t> = </m:t>
          </m:r>
          <m:d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t>0,662</m:t>
                    </m:r>
                  </m:e>
                </m:mr>
                <m:mr>
                  <m:e>
                    <m:r>
                      <m:t>0,073</m:t>
                    </m:r>
                  </m:e>
                </m:mr>
                <m:mr>
                  <m:e>
                    <m:r>
                      <m:t>0,0939</m:t>
                    </m:r>
                  </m:e>
                </m:mr>
              </m:m>
            </m:e>
          </m:d>
        </m:oMath>
      </m:oMathPara>
    </w:p>
    <w:p>
      <w:pPr>
        <w:pStyle w:val="pStyle"/>
      </w:pPr>
      <w:r>
        <w:t xml:space="preserve">x</w:t>
      </w:r>
      <w:r>
        <w:rPr>
          <w:vertAlign w:val="subscript"/>
        </w:rPr>
        <w:t>1</w:t>
      </w:r>
      <w:r>
        <w:t xml:space="preserve">=0.662</w:t>
      </w:r>
    </w:p>
    <w:p>
      <w:pPr>
        <w:pStyle w:val="pStyle"/>
      </w:pPr>
      <w:r>
        <w:t xml:space="preserve">x</w:t>
      </w:r>
      <w:r>
        <w:rPr>
          <w:vertAlign w:val="subscript"/>
        </w:rPr>
        <w:t>2</w:t>
      </w:r>
      <w:r>
        <w:t xml:space="preserve">=0.073</w:t>
      </w:r>
    </w:p>
    <w:p>
      <w:pPr>
        <w:pStyle w:val="pStyle"/>
      </w:pPr>
      <w:r>
        <w:t xml:space="preserve">x</w:t>
      </w:r>
      <w:r>
        <w:rPr>
          <w:vertAlign w:val="subscript"/>
        </w:rPr>
        <w:t>3</w:t>
      </w:r>
      <w:r>
        <w:t xml:space="preserve">=0.0939</w:t>
      </w:r>
    </w:p>
    <w:p>
      <w:pPr>
        <w:pStyle w:val="pStyle"/>
      </w:pPr>
    </w:p>
    <w:p>
      <w:pPr>
        <w:pStyle w:val="pStyle"/>
      </w:pPr>
      <w:r>
        <w:t xml:space="preserve">Решение было получено и оформлено с помощью сервиса:</w:t>
      </w:r>
    </w:p>
    <w:p>
      <w:hyperlink r:id="rId7" w:history="1">
        <w:r>
          <w:rPr>
            <w:color w:val="0000FF"/>
            <w:u w:val="single"/>
          </w:rPr>
          <w:t xml:space="preserve">Базисные решения системы линейных уравнений методом Жордана-Гаусса</w:t>
        </w:r>
      </w:hyperlink>
    </w:p>
    <w:p>
      <w:pPr>
        <w:pStyle w:val="pStyle"/>
      </w:pPr>
      <w:r>
        <w:t xml:space="preserve">источник:</w:t>
      </w:r>
    </w:p>
    <w:p>
      <w:hyperlink r:id="rId8" w:history="1">
        <w:r>
          <w:rPr>
            <w:color w:val="0000FF"/>
            <w:u w:val="single"/>
          </w:rPr>
          <w:t xml:space="preserve">Метод Гаусса и метод Жордано-Гаусса</w:t>
        </w:r>
      </w:hyperlink>
    </w:p>
    <w:p>
      <w:pPr>
        <w:pStyle w:val="pStyle"/>
      </w:pPr>
      <w:r>
        <w:t xml:space="preserve">Вместе с этой задачей решают также:</w:t>
      </w:r>
    </w:p>
    <w:p>
      <w:hyperlink r:id="rId9" w:history="1">
        <w:r>
          <w:rPr>
            <w:color w:val="0000FF"/>
            <w:u w:val="single"/>
          </w:rPr>
          <w:t xml:space="preserve">Метод Гаусса</w:t>
        </w:r>
      </w:hyperlink>
    </w:p>
    <w:p>
      <w:hyperlink r:id="rId10" w:history="1">
        <w:r>
          <w:rPr>
            <w:color w:val="0000FF"/>
            <w:u w:val="single"/>
          </w:rPr>
          <w:t xml:space="preserve">Правило прямоугольника</w:t>
        </w:r>
      </w:hyperlink>
    </w:p>
    <w:p>
      <w:hyperlink r:id="rId11" w:history="1">
        <w:r>
          <w:rPr>
            <w:color w:val="0000FF"/>
            <w:u w:val="single"/>
          </w:rPr>
          <w:t xml:space="preserve">Каноническая форма ЗЛП</w:t>
        </w:r>
      </w:hyperlink>
    </w:p>
    <w:p>
      <w:hyperlink r:id="rId12" w:history="1">
        <w:r>
          <w:rPr>
            <w:color w:val="0000FF"/>
            <w:u w:val="single"/>
          </w:rPr>
          <w:t xml:space="preserve">Координаты вектора в базисе</w:t>
        </w:r>
      </w:hyperlink>
    </w:p>
    <w:p>
      <w:hyperlink r:id="rId13" w:history="1">
        <w:r>
          <w:rPr>
            <w:color w:val="0000FF"/>
            <w:u w:val="single"/>
          </w:rPr>
          <w:t xml:space="preserve">Решения СЛАУ методом простой итерации</w:t>
        </w:r>
      </w:hyperlink>
    </w:p>
    <w:p>
      <w:hyperlink r:id="rId14" w:history="1">
        <w:r>
          <w:rPr>
            <w:color w:val="0000FF"/>
            <w:u w:val="single"/>
          </w:rPr>
          <w:t xml:space="preserve">Решения СЛАУ методом простой Зейделя</w:t>
        </w:r>
      </w:hyperlink>
    </w:p>
    <w:p>
      <w:hyperlink r:id="rId15" w:history="1">
        <w:r>
          <w:rPr>
            <w:color w:val="0000FF"/>
            <w:u w:val="single"/>
          </w:rPr>
          <w:t xml:space="preserve">Умножение матриц онлайн</w:t>
        </w:r>
      </w:hyperlink>
    </w:p>
    <w:p>
      <w:hyperlink r:id="rId16" w:history="1">
        <w:r>
          <w:rPr>
            <w:color w:val="0000FF"/>
            <w:u w:val="single"/>
          </w:rPr>
          <w:t xml:space="preserve">По координатам пирамиды найти: уравнение плоскостей, уравнение прямых</w:t>
        </w:r>
      </w:hyperlink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</w:rPr>
    </w:rPrDefault>
  </w:docDefaults>
  <w:style w:type="paragraph" w:customStyle="1" w:styleId="pStyle">
    <w:name w:val="pStyle"/>
    <w:pPr>
      <w:jc w:val="both"/>
      <w:ind w:firstLine="720"/>
      <w:spacing w:after="0" w:line="360" w:lineRule="auto"/>
    </w:pPr>
  </w:style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  <w:style w:type="paragraph" w:customStyle="1" w:styleId="tc_align">
    <w:name w:val="tc_align"/>
    <w:pPr>
      <w:jc w:val="center"/>
    </w:pPr>
  </w:style>
  <w:style w:type="paragraph" w:customStyle="1" w:styleId="eq_left">
    <w:name w:val="eq_left"/>
    <w:pPr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s://math.semestr.ru/gauss/jordan.php" TargetMode="External"/>
  <Relationship Id="rId8" Type="http://schemas.openxmlformats.org/officeDocument/2006/relationships/hyperlink" Target="https://math.semestr.ru/gauss/methodgauss.php" TargetMode="External"/>
  <Relationship Id="rId9" Type="http://schemas.openxmlformats.org/officeDocument/2006/relationships/hyperlink" Target="https://math.semestr.ru/gauss/gauss.php" TargetMode="External"/>
  <Relationship Id="rId10" Type="http://schemas.openxmlformats.org/officeDocument/2006/relationships/hyperlink" Target="https://math.semestr.ru/simplex/rectangle.php" TargetMode="External"/>
  <Relationship Id="rId11" Type="http://schemas.openxmlformats.org/officeDocument/2006/relationships/hyperlink" Target="https://math.semestr.ru/simplex/kanon.php" TargetMode="External"/>
  <Relationship Id="rId12" Type="http://schemas.openxmlformats.org/officeDocument/2006/relationships/hyperlink" Target="https://math.semestr.ru/matrix/vector-basis.php" TargetMode="External"/>
  <Relationship Id="rId13" Type="http://schemas.openxmlformats.org/officeDocument/2006/relationships/hyperlink" Target="https://math.semestr.ru/optim/iter.php" TargetMode="External"/>
  <Relationship Id="rId14" Type="http://schemas.openxmlformats.org/officeDocument/2006/relationships/hyperlink" Target="https://math.semestr.ru/optim/zeidel.php" TargetMode="External"/>
  <Relationship Id="rId15" Type="http://schemas.openxmlformats.org/officeDocument/2006/relationships/hyperlink" Target="https://math.semestr.ru/matrix/opred.php" TargetMode="External"/>
  <Relationship Id="rId16" Type="http://schemas.openxmlformats.org/officeDocument/2006/relationships/hyperlink" Target="https://math.semestr.ru/line/index.php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>ООО Новый семестр</Company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Новый семестр</dc:creator>
  <cp:lastModifiedBy>ООО Новый семестр</cp:lastModifiedBy>
  <dcterms:created xsi:type="dcterms:W3CDTF">2020-03-05T22:13:00+03:00</dcterms:created>
  <dcterms:modified xsi:type="dcterms:W3CDTF">2020-03-05T22:13:00+03:00</dcterms:modified>
  <dc:title>Базисные решения системы линейных уравнений методом Жордана-Гаусса</dc:title>
  <dc:description>https://math.semestr.ru/gauss/jordan.php</dc:description>
  <dc:subject>Базисные решения системы линейных уравнений методом Жордана-Гаусса</dc:subject>
  <cp:keywords>метод Гаусса,метод Жордано-Гаусса</cp:keywords>
  <cp:category>Базисные решения системы линейных уравнений методом Жордана-Гаусса</cp:category>
</cp:coreProperties>
</file>