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532813396"/>
      <w:bookmarkStart w:id="5" w:name="_Toc7855"/>
      <w:bookmarkStart w:id="6" w:name="_Toc532813602"/>
      <w:bookmarkStart w:id="7" w:name="_Toc31959"/>
      <w:bookmarkStart w:id="8" w:name="_Toc16012"/>
      <w:bookmarkStart w:id="9" w:name="_Toc18931206"/>
      <w:bookmarkStart w:id="10" w:name="_Toc25199"/>
      <w:bookmarkStart w:id="11" w:name="_Toc532379680"/>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8931209"/>
      <w:bookmarkStart w:id="23" w:name="_Toc5614"/>
      <w:bookmarkStart w:id="24" w:name="_Toc21358"/>
      <w:bookmarkStart w:id="25" w:name="_Toc797"/>
      <w:bookmarkStart w:id="26" w:name="_Toc23582"/>
      <w:bookmarkStart w:id="27" w:name="_Toc17846"/>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27170590"/>
      <w:bookmarkStart w:id="29" w:name="_Toc29744378"/>
      <w:bookmarkStart w:id="30" w:name="_Toc187287902"/>
      <w:bookmarkStart w:id="31" w:name="_Toc360134504"/>
      <w:bookmarkStart w:id="32" w:name="_Toc394"/>
      <w:bookmarkStart w:id="33" w:name="_Toc19504"/>
      <w:bookmarkStart w:id="34" w:name="_Toc30778"/>
      <w:bookmarkStart w:id="35" w:name="_Toc6891"/>
      <w:bookmarkStart w:id="36" w:name="_Toc9796"/>
      <w:bookmarkStart w:id="37" w:name="_Toc27169074"/>
      <w:bookmarkStart w:id="38" w:name="_Toc27342"/>
      <w:bookmarkStart w:id="39" w:name="_Toc27169223"/>
      <w:bookmarkStart w:id="40" w:name="_Toc39604729"/>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7276909"/>
      <w:bookmarkStart w:id="43" w:name="_Toc5656333"/>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8942"/>
      <w:bookmarkStart w:id="45" w:name="_Toc9925"/>
      <w:bookmarkStart w:id="46" w:name="_Toc14666"/>
      <w:bookmarkStart w:id="47" w:name="_Toc16404"/>
      <w:bookmarkStart w:id="48" w:name="_Toc19357"/>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6070"/>
      <w:bookmarkStart w:id="53" w:name="_Toc8929"/>
      <w:bookmarkStart w:id="54" w:name="_Toc13036"/>
      <w:bookmarkStart w:id="55" w:name="_Toc14651"/>
      <w:bookmarkStart w:id="56" w:name="_Toc2440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19214"/>
      <w:bookmarkStart w:id="62" w:name="_Toc27782"/>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8542"/>
      <w:bookmarkStart w:id="64" w:name="_Toc31665"/>
      <w:bookmarkStart w:id="65" w:name="_Toc5474"/>
      <w:bookmarkStart w:id="66" w:name="_Toc6228"/>
      <w:bookmarkStart w:id="67" w:name="_Toc4483"/>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7150"/>
      <w:bookmarkStart w:id="70" w:name="_Toc31056"/>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26707"/>
      <w:bookmarkStart w:id="80" w:name="_Toc345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18394"/>
      <w:bookmarkStart w:id="89" w:name="_Toc392"/>
      <w:bookmarkStart w:id="90" w:name="_Toc30744"/>
      <w:bookmarkStart w:id="91" w:name="_Toc28933"/>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8698"/>
      <w:bookmarkStart w:id="93" w:name="_Toc15828"/>
      <w:bookmarkStart w:id="94" w:name="_Toc21160"/>
      <w:bookmarkStart w:id="95" w:name="_Toc30966"/>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620"/>
      <w:bookmarkStart w:id="99" w:name="_Toc25451"/>
      <w:bookmarkStart w:id="100" w:name="_Toc21975"/>
      <w:bookmarkStart w:id="101" w:name="_Toc24274"/>
      <w:bookmarkStart w:id="102" w:name="_Toc772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6344"/>
      <w:bookmarkStart w:id="107" w:name="_Toc1756"/>
      <w:bookmarkStart w:id="108" w:name="_Toc30224"/>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3462"/>
      <w:bookmarkStart w:id="112" w:name="_Toc11204"/>
      <w:bookmarkStart w:id="113" w:name="_Toc8112"/>
      <w:bookmarkStart w:id="114" w:name="_Toc11349"/>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21055"/>
      <w:bookmarkStart w:id="119" w:name="_Toc1941"/>
      <w:bookmarkStart w:id="120" w:name="_Toc5237"/>
      <w:bookmarkStart w:id="121" w:name="_Toc1333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w:t>
      </w:r>
    </w:p>
    <w:p>
      <w:pPr>
        <w:adjustRightInd w:val="0"/>
        <w:spacing w:line="360" w:lineRule="auto"/>
        <w:ind w:firstLine="420" w:firstLineChars="200"/>
        <w:jc w:val="center"/>
        <w:rPr>
          <w:rFonts w:hint="default" w:asciiTheme="minorEastAsia" w:hAnsiTheme="minorEastAsia" w:cstheme="minorEastAsia"/>
          <w:sz w:val="24"/>
          <w:lang w:val="en-US" w:eastAsia="zh-CN" w:bidi="ar"/>
        </w:rPr>
      </w:pPr>
      <w:r>
        <w:drawing>
          <wp:inline distT="0" distB="0" distL="114300" distR="114300">
            <wp:extent cx="4156710" cy="2620645"/>
            <wp:effectExtent l="0" t="0" r="15240" b="825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156710" cy="2620645"/>
                    </a:xfrm>
                    <a:prstGeom prst="rect">
                      <a:avLst/>
                    </a:prstGeom>
                    <a:noFill/>
                    <a:ln>
                      <a:noFill/>
                    </a:ln>
                  </pic:spPr>
                </pic:pic>
              </a:graphicData>
            </a:graphic>
          </wp:inline>
        </w:drawing>
      </w:r>
    </w:p>
    <w:p>
      <w:pPr>
        <w:jc w:val="center"/>
        <w:rPr>
          <w:rFonts w:hint="default"/>
          <w:lang w:val="en-US" w:eastAsia="zh-Hans"/>
        </w:rP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w:t>
      </w:r>
    </w:p>
    <w:p>
      <w:pPr>
        <w:adjustRightInd w:val="0"/>
        <w:spacing w:line="360" w:lineRule="auto"/>
        <w:ind w:firstLine="420" w:firstLineChars="200"/>
        <w:jc w:val="left"/>
        <w:rPr>
          <w:rFonts w:hint="default" w:asciiTheme="minorEastAsia" w:hAnsiTheme="minorEastAsia" w:cstheme="minorEastAsia"/>
          <w:sz w:val="24"/>
          <w:lang w:val="en-US" w:eastAsia="zh-CN" w:bidi="ar"/>
        </w:rPr>
      </w:pPr>
      <w:r>
        <w:drawing>
          <wp:inline distT="0" distB="0" distL="114300" distR="114300">
            <wp:extent cx="4944745" cy="6152515"/>
            <wp:effectExtent l="0" t="0" r="8255" b="63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944745" cy="6152515"/>
                    </a:xfrm>
                    <a:prstGeom prst="rect">
                      <a:avLst/>
                    </a:prstGeom>
                    <a:noFill/>
                    <a:ln>
                      <a:noFill/>
                    </a:ln>
                  </pic:spPr>
                </pic:pic>
              </a:graphicData>
            </a:graphic>
          </wp:inline>
        </w:drawing>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w:t>
      </w:r>
    </w:p>
    <w:p>
      <w:pPr>
        <w:jc w:val="center"/>
        <w:rPr>
          <w:rFonts w:hint="default"/>
          <w:lang w:val="en-US" w:eastAsia="zh-Hans"/>
        </w:rP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bookmarkStart w:id="138" w:name="_GoBack"/>
      <w:bookmarkEnd w:id="138"/>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eastAsiaTheme="minorEastAsia" w:cstheme="minorEastAsia"/>
                <w:kern w:val="2"/>
                <w:sz w:val="24"/>
                <w:szCs w:val="24"/>
                <w:vertAlign w:val="baseline"/>
                <w:lang w:val="en-US" w:eastAsia="zh-CN" w:bidi="ar"/>
              </w:rPr>
            </w:pPr>
            <w:r>
              <w:rPr>
                <w:rFonts w:hint="eastAsia" w:asciiTheme="minorEastAsia" w:hAnsiTheme="minorEastAsia" w:cstheme="minorEastAsia"/>
                <w:sz w:val="24"/>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4"/>
                <w:szCs w:val="24"/>
                <w:vertAlign w:val="baseline"/>
                <w:lang w:val="en-US" w:eastAsia="zh-CN" w:bidi="ar"/>
              </w:rPr>
            </w:pPr>
            <w:r>
              <w:rPr>
                <w:rFonts w:hint="default" w:asciiTheme="minorEastAsia" w:hAnsiTheme="minorEastAsia" w:cstheme="minorEastAsia"/>
                <w:sz w:val="24"/>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8</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10</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11</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12</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13</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14</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15</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16</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default" w:asciiTheme="minorEastAsia" w:hAnsiTheme="minorEastAsia" w:cstheme="minorEastAsia"/>
                <w:sz w:val="24"/>
                <w:vertAlign w:val="baseline"/>
                <w:lang w:val="en-US" w:eastAsia="zh-CN" w:bidi="ar"/>
              </w:rPr>
              <w:t>17</w:t>
            </w:r>
          </w:p>
        </w:tc>
        <w:tc>
          <w:tcPr>
            <w:tcW w:w="1297" w:type="dxa"/>
            <w:vMerge w:val="continue"/>
            <w:tcBorders/>
            <w:vAlign w:val="center"/>
          </w:tcPr>
          <w:p>
            <w:pPr>
              <w:adjustRightInd w:val="0"/>
              <w:spacing w:line="360" w:lineRule="auto"/>
              <w:jc w:val="center"/>
              <w:rPr>
                <w:rFonts w:hint="eastAsia" w:asciiTheme="minorEastAsia" w:hAnsiTheme="minorEastAsia" w:cstheme="minorEastAsia"/>
                <w:sz w:val="24"/>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eastAsia" w:asciiTheme="minorEastAsia" w:hAnsiTheme="minorEastAsia" w:cstheme="minorEastAsia"/>
                <w:kern w:val="2"/>
                <w:sz w:val="21"/>
                <w:szCs w:val="21"/>
                <w:vertAlign w:val="baseline"/>
                <w:lang w:val="en-US" w:eastAsia="zh-CN" w:bidi="ar"/>
              </w:rPr>
              <w:t>点赞动态评论</w:t>
            </w:r>
          </w:p>
        </w:tc>
        <w:tc>
          <w:tcPr>
            <w:tcW w:w="1109" w:type="dxa"/>
            <w:vAlign w:val="top"/>
          </w:tcPr>
          <w:p>
            <w:pPr>
              <w:adjustRightInd w:val="0"/>
              <w:spacing w:line="360" w:lineRule="auto"/>
              <w:jc w:val="center"/>
              <w:rPr>
                <w:rFonts w:hint="eastAsia"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cstheme="minorEastAsia"/>
                <w:kern w:val="2"/>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eastAsiaTheme="minorEastAsia" w:cstheme="minorEastAsia"/>
                <w:kern w:val="2"/>
                <w:sz w:val="21"/>
                <w:szCs w:val="21"/>
                <w:vertAlign w:val="baseline"/>
                <w:lang w:val="en-US" w:eastAsia="zh-CN" w:bidi="ar"/>
              </w:rPr>
            </w:pPr>
            <w:r>
              <w:rPr>
                <w:rFonts w:hint="default" w:asciiTheme="minorEastAsia" w:hAnsiTheme="minorEastAsia" w:eastAsiaTheme="minorEastAsia" w:cstheme="minorEastAsia"/>
                <w:kern w:val="2"/>
                <w:sz w:val="21"/>
                <w:szCs w:val="21"/>
                <w:vertAlign w:val="baseline"/>
                <w:lang w:val="en-US" w:eastAsia="zh-CN" w:bidi="ar"/>
              </w:rPr>
              <w:t>/blog/comment/praise</w:t>
            </w:r>
          </w:p>
        </w:tc>
      </w:tr>
    </w:tbl>
    <w:p>
      <w:pPr>
        <w:adjustRightInd w:val="0"/>
        <w:spacing w:line="360" w:lineRule="auto"/>
        <w:ind w:firstLine="480" w:firstLineChars="200"/>
        <w:jc w:val="left"/>
        <w:rPr>
          <w:rFonts w:hint="eastAsia" w:asciiTheme="minorEastAsia" w:hAnsiTheme="minorEastAsia" w:cstheme="minorEastAsia"/>
          <w:sz w:val="24"/>
          <w:lang w:val="en-US" w:eastAsia="zh-CN" w:bidi="ar"/>
        </w:rPr>
      </w:pP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26554A9"/>
    <w:rsid w:val="02CB5D8C"/>
    <w:rsid w:val="02DE7C7D"/>
    <w:rsid w:val="033D44E2"/>
    <w:rsid w:val="03591E40"/>
    <w:rsid w:val="043D1F82"/>
    <w:rsid w:val="04861F4D"/>
    <w:rsid w:val="052B16B6"/>
    <w:rsid w:val="064029FC"/>
    <w:rsid w:val="06DA37C9"/>
    <w:rsid w:val="06F22D60"/>
    <w:rsid w:val="070C694A"/>
    <w:rsid w:val="074C2FA4"/>
    <w:rsid w:val="077B0034"/>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2136DA"/>
    <w:rsid w:val="13DA1C1D"/>
    <w:rsid w:val="14116861"/>
    <w:rsid w:val="14370794"/>
    <w:rsid w:val="143D1857"/>
    <w:rsid w:val="14774FC3"/>
    <w:rsid w:val="148C4A6A"/>
    <w:rsid w:val="14FA2483"/>
    <w:rsid w:val="162154CB"/>
    <w:rsid w:val="16E341D5"/>
    <w:rsid w:val="17265C3F"/>
    <w:rsid w:val="18A57E56"/>
    <w:rsid w:val="1A3F3B2A"/>
    <w:rsid w:val="1A7BF9EC"/>
    <w:rsid w:val="1B3B1964"/>
    <w:rsid w:val="1B464895"/>
    <w:rsid w:val="1BF3410F"/>
    <w:rsid w:val="1D64247C"/>
    <w:rsid w:val="1D785F30"/>
    <w:rsid w:val="1D9B4253"/>
    <w:rsid w:val="1E8E6C72"/>
    <w:rsid w:val="1E9A0CC3"/>
    <w:rsid w:val="1EFB13A9"/>
    <w:rsid w:val="1FA33B1B"/>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3E2F85"/>
    <w:rsid w:val="26FF7F95"/>
    <w:rsid w:val="274F1C25"/>
    <w:rsid w:val="28755416"/>
    <w:rsid w:val="28B109D5"/>
    <w:rsid w:val="2939370F"/>
    <w:rsid w:val="29C45C8D"/>
    <w:rsid w:val="29FB069A"/>
    <w:rsid w:val="2ADF46B9"/>
    <w:rsid w:val="2C345E53"/>
    <w:rsid w:val="2C4C2E8A"/>
    <w:rsid w:val="2D087D89"/>
    <w:rsid w:val="2DD370FD"/>
    <w:rsid w:val="2DDB7148"/>
    <w:rsid w:val="2E6D64F7"/>
    <w:rsid w:val="2E832FBA"/>
    <w:rsid w:val="2F9E6829"/>
    <w:rsid w:val="305F2CE5"/>
    <w:rsid w:val="309D7EF0"/>
    <w:rsid w:val="30BB248F"/>
    <w:rsid w:val="30F95A03"/>
    <w:rsid w:val="3173278C"/>
    <w:rsid w:val="317D0E94"/>
    <w:rsid w:val="334D6CD5"/>
    <w:rsid w:val="33915994"/>
    <w:rsid w:val="341C69C3"/>
    <w:rsid w:val="34775672"/>
    <w:rsid w:val="347DEFEA"/>
    <w:rsid w:val="34835452"/>
    <w:rsid w:val="352E7DA7"/>
    <w:rsid w:val="35772E14"/>
    <w:rsid w:val="35984358"/>
    <w:rsid w:val="368A7B67"/>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6DF7BA0"/>
    <w:rsid w:val="475B5BD3"/>
    <w:rsid w:val="47806C43"/>
    <w:rsid w:val="47853823"/>
    <w:rsid w:val="47F8757D"/>
    <w:rsid w:val="487E5BD4"/>
    <w:rsid w:val="489C4B2F"/>
    <w:rsid w:val="48FE4402"/>
    <w:rsid w:val="49B7613A"/>
    <w:rsid w:val="49DE7D38"/>
    <w:rsid w:val="49E43FAC"/>
    <w:rsid w:val="49FC6805"/>
    <w:rsid w:val="4A0F3E5B"/>
    <w:rsid w:val="4B0E00F1"/>
    <w:rsid w:val="4C03053D"/>
    <w:rsid w:val="4C0D40E9"/>
    <w:rsid w:val="4D0F1913"/>
    <w:rsid w:val="4E04388A"/>
    <w:rsid w:val="4E6A7319"/>
    <w:rsid w:val="4F0B7451"/>
    <w:rsid w:val="4F7906CC"/>
    <w:rsid w:val="4FBD4BE9"/>
    <w:rsid w:val="500A7C1F"/>
    <w:rsid w:val="503D6037"/>
    <w:rsid w:val="516C329E"/>
    <w:rsid w:val="51C708C8"/>
    <w:rsid w:val="51E62E16"/>
    <w:rsid w:val="52382470"/>
    <w:rsid w:val="52F934B2"/>
    <w:rsid w:val="53774BF1"/>
    <w:rsid w:val="54222164"/>
    <w:rsid w:val="5454754E"/>
    <w:rsid w:val="55132E91"/>
    <w:rsid w:val="55472358"/>
    <w:rsid w:val="55C73070"/>
    <w:rsid w:val="56F81F2D"/>
    <w:rsid w:val="57DF7738"/>
    <w:rsid w:val="57EF3409"/>
    <w:rsid w:val="57F3816D"/>
    <w:rsid w:val="5A8D7162"/>
    <w:rsid w:val="5AA34EB0"/>
    <w:rsid w:val="5BEFD9A2"/>
    <w:rsid w:val="5C07480C"/>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17356B6"/>
    <w:rsid w:val="6178470D"/>
    <w:rsid w:val="61AD5C1A"/>
    <w:rsid w:val="622B5FA1"/>
    <w:rsid w:val="62574C49"/>
    <w:rsid w:val="6277403B"/>
    <w:rsid w:val="62830731"/>
    <w:rsid w:val="62EF64B1"/>
    <w:rsid w:val="636266DE"/>
    <w:rsid w:val="636D5C6E"/>
    <w:rsid w:val="63D1148D"/>
    <w:rsid w:val="6500577C"/>
    <w:rsid w:val="66B07869"/>
    <w:rsid w:val="673B095E"/>
    <w:rsid w:val="674F3BC5"/>
    <w:rsid w:val="67E062C9"/>
    <w:rsid w:val="68587EB8"/>
    <w:rsid w:val="699C5FBF"/>
    <w:rsid w:val="6B0547DB"/>
    <w:rsid w:val="6B086E3C"/>
    <w:rsid w:val="6B5D716B"/>
    <w:rsid w:val="6C9611B5"/>
    <w:rsid w:val="6DDD211E"/>
    <w:rsid w:val="6DEDCCC6"/>
    <w:rsid w:val="6E170775"/>
    <w:rsid w:val="6E5E6A52"/>
    <w:rsid w:val="6E6BBFFB"/>
    <w:rsid w:val="6EB45A2B"/>
    <w:rsid w:val="6EEB1C9F"/>
    <w:rsid w:val="6EF5605B"/>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6F0116F"/>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2</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2023-02-20T09:50:49Z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