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1"/>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18931206"/>
      <w:bookmarkStart w:id="4" w:name="_Toc16012"/>
      <w:bookmarkStart w:id="5" w:name="_Toc31959"/>
      <w:bookmarkStart w:id="6" w:name="_Toc532813396"/>
      <w:bookmarkStart w:id="7" w:name="_Toc25199"/>
      <w:bookmarkStart w:id="8" w:name="_Toc29889"/>
      <w:bookmarkStart w:id="9" w:name="_Toc7855"/>
      <w:bookmarkStart w:id="10" w:name="_Toc532379680"/>
      <w:bookmarkStart w:id="11" w:name="_Toc53281360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813603"/>
      <w:bookmarkStart w:id="14" w:name="_Toc532813397"/>
      <w:bookmarkStart w:id="15" w:name="_Toc532379681"/>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22964"/>
      <w:bookmarkStart w:id="18" w:name="_Toc10738"/>
      <w:bookmarkStart w:id="19" w:name="_Toc17683"/>
      <w:bookmarkStart w:id="20" w:name="_Toc12392"/>
      <w:bookmarkStart w:id="21" w:name="_Toc4971"/>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2"/>
              <w:rFonts w:ascii="黑体" w:hAnsi="黑体" w:eastAsia="黑体" w:cs="黑体"/>
            </w:rPr>
          </w:pPr>
          <w:r>
            <w:rPr>
              <w:rFonts w:hint="eastAsia" w:ascii="黑体" w:hAnsi="黑体" w:eastAsia="黑体" w:cs="黑体"/>
              <w:b/>
              <w:bCs/>
              <w:sz w:val="36"/>
              <w:szCs w:val="36"/>
            </w:rPr>
            <w:t>目  录</w:t>
          </w:r>
        </w:p>
        <w:p>
          <w:pPr>
            <w:pStyle w:val="13"/>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3"/>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2"/>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18931209"/>
      <w:bookmarkStart w:id="23" w:name="_Toc21358"/>
      <w:bookmarkStart w:id="24" w:name="_Toc5614"/>
      <w:bookmarkStart w:id="25" w:name="_Toc797"/>
      <w:bookmarkStart w:id="26" w:name="_Toc17846"/>
      <w:bookmarkStart w:id="27" w:name="_Toc23582"/>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cs="黑体"/>
          <w:color w:val="000000"/>
          <w:sz w:val="30"/>
          <w:szCs w:val="30"/>
        </w:rPr>
      </w:pPr>
      <w:bookmarkStart w:id="28" w:name="_Toc394"/>
      <w:bookmarkStart w:id="29" w:name="_Toc9796"/>
      <w:bookmarkStart w:id="30" w:name="_Toc6891"/>
      <w:bookmarkStart w:id="31" w:name="_Toc27342"/>
      <w:bookmarkStart w:id="32" w:name="_Toc19504"/>
      <w:bookmarkStart w:id="33" w:name="_Toc30778"/>
      <w:bookmarkStart w:id="34" w:name="_Toc27170590"/>
      <w:bookmarkStart w:id="35" w:name="_Toc27169074"/>
      <w:bookmarkStart w:id="36" w:name="_Toc39604729"/>
      <w:bookmarkStart w:id="37" w:name="_Toc360134504"/>
      <w:bookmarkStart w:id="38" w:name="_Toc29744378"/>
      <w:bookmarkStart w:id="39" w:name="_Toc27169223"/>
      <w:bookmarkStart w:id="40" w:name="_Toc18728790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p>
    <w:bookmarkEnd w:id="34"/>
    <w:bookmarkEnd w:id="35"/>
    <w:bookmarkEnd w:id="36"/>
    <w:bookmarkEnd w:id="37"/>
    <w:bookmarkEnd w:id="38"/>
    <w:bookmarkEnd w:id="39"/>
    <w:bookmarkEnd w:id="40"/>
    <w:p>
      <w:pPr>
        <w:spacing w:line="360" w:lineRule="auto"/>
        <w:ind w:firstLine="480" w:firstLineChars="200"/>
        <w:jc w:val="left"/>
        <w:rPr>
          <w:rFonts w:asciiTheme="minorEastAsia" w:hAnsiTheme="minorEastAsia" w:cstheme="minorEastAsia"/>
          <w:color w:val="00B050"/>
          <w:sz w:val="24"/>
        </w:rPr>
      </w:pPr>
      <w:bookmarkStart w:id="41" w:name="_Toc16428"/>
      <w:bookmarkStart w:id="42" w:name="_Toc5656333"/>
      <w:bookmarkStart w:id="43" w:name="_Toc7276909"/>
      <w:r>
        <w:rPr>
          <w:rFonts w:hint="eastAsia" w:ascii="宋体" w:hAnsi="宋体" w:cs="宋体"/>
          <w:sz w:val="24"/>
          <w:lang w:bidi="ar"/>
        </w:rPr>
        <w:t>随着社会的不断进步，生态理念和环保思想的不断推动，尤其是能源危机爆发后，发展绿色建筑已成为全球共识，绿色建筑也成为建筑发展的先导。根据美国</w:t>
      </w:r>
      <w:r>
        <w:rPr>
          <w:rFonts w:ascii="Times New Roman" w:hAnsi="Times New Roman" w:cs="Times New Roman"/>
          <w:sz w:val="24"/>
          <w:lang w:bidi="ar"/>
        </w:rPr>
        <w:t>Mr Graw Hill Construction</w:t>
      </w:r>
      <w:r>
        <w:rPr>
          <w:rFonts w:hint="eastAsia" w:asciiTheme="minorEastAsia" w:hAnsiTheme="minorEastAsia" w:cstheme="minorEastAsia"/>
          <w:sz w:val="24"/>
          <w:lang w:bidi="ar"/>
        </w:rPr>
        <w:t xml:space="preserve"> 项目研究资料表明，建筑业消耗能耗目前居整个社会能耗的首位，占比高达一半以上，碳排放总量也居首位，高达总量三分之一。类似相关的调查还有很多，这些调查数据无一不体现建筑业的飞速发展是以资源巨大损耗和环境巨大污染为代价换取，这与绿色建筑发展的初衷严重相悖，也一定程度上制约了建筑未来可持续发展。目前，随着全球对于环保节能的重视，越来越多的国家和地区通过制定相关措施和制度去大力发展绿色建筑</w:t>
      </w:r>
      <w:r>
        <w:rPr>
          <w:rFonts w:ascii="Times New Roman" w:hAnsi="Times New Roman" w:cs="Times New Roman"/>
          <w:sz w:val="24"/>
          <w:vertAlign w:val="superscript"/>
          <w:lang w:bidi="ar"/>
        </w:rPr>
        <w:t>[1]</w:t>
      </w:r>
      <w:r>
        <w:rPr>
          <w:rFonts w:hint="eastAsia" w:asciiTheme="minorEastAsia" w:hAnsiTheme="minorEastAsia" w:cstheme="minorEastAsia"/>
          <w:sz w:val="24"/>
          <w:lang w:bidi="ar"/>
        </w:rPr>
        <w:t>。</w:t>
      </w:r>
      <w:r>
        <w:rPr>
          <w:rFonts w:hint="eastAsia" w:ascii="宋体" w:hAnsi="宋体" w:cs="宋体"/>
          <w:color w:val="00A44A"/>
          <w:sz w:val="24"/>
        </w:rPr>
        <w:t>（正文中引用文献序号用小</w:t>
      </w:r>
      <w:r>
        <w:rPr>
          <w:rFonts w:hint="eastAsia" w:ascii="Times New Roman" w:hAnsi="Times New Roman" w:cs="Times New Roman"/>
          <w:color w:val="00B050"/>
          <w:sz w:val="24"/>
        </w:rPr>
        <w:t>4</w:t>
      </w:r>
      <w:r>
        <w:rPr>
          <w:rFonts w:hint="eastAsia" w:ascii="宋体" w:hAnsi="宋体" w:cs="宋体"/>
          <w:color w:val="00B050"/>
          <w:sz w:val="24"/>
        </w:rPr>
        <w:t>号</w:t>
      </w:r>
      <w:r>
        <w:rPr>
          <w:rFonts w:ascii="Times New Roman" w:hAnsi="Times New Roman" w:cs="Times New Roman"/>
          <w:color w:val="00B050"/>
          <w:sz w:val="24"/>
        </w:rPr>
        <w:t>Times New Roman</w:t>
      </w:r>
      <w:r>
        <w:rPr>
          <w:rFonts w:hint="eastAsia" w:ascii="宋体" w:hAnsi="宋体" w:cs="宋体"/>
          <w:color w:val="00B050"/>
          <w:sz w:val="24"/>
        </w:rPr>
        <w:t>体、</w:t>
      </w:r>
      <w:r>
        <w:rPr>
          <w:rFonts w:hint="eastAsia" w:ascii="宋体" w:hAnsi="宋体" w:cs="宋体"/>
          <w:color w:val="00A44A"/>
          <w:sz w:val="24"/>
        </w:rPr>
        <w:t>以上角标形式置于方括号中。如引用连续多篇文献，序号用逗号隔开，如：“……绿色建筑</w:t>
      </w:r>
      <w:r>
        <w:rPr>
          <w:rFonts w:ascii="Times New Roman" w:hAnsi="Times New Roman" w:cs="Times New Roman"/>
          <w:color w:val="00A44A"/>
          <w:sz w:val="24"/>
          <w:vertAlign w:val="superscript"/>
        </w:rPr>
        <w:fldChar w:fldCharType="begin"/>
      </w:r>
      <w:r>
        <w:rPr>
          <w:rFonts w:ascii="Times New Roman" w:hAnsi="Times New Roman" w:cs="Times New Roman"/>
          <w:color w:val="00A44A"/>
          <w:sz w:val="24"/>
          <w:vertAlign w:val="superscript"/>
        </w:rPr>
        <w:instrText xml:space="preserve"> REF _Ref424769155 \r \h  \* MERGEFORMAT </w:instrText>
      </w:r>
      <w:r>
        <w:rPr>
          <w:rFonts w:ascii="Times New Roman" w:hAnsi="Times New Roman" w:cs="Times New Roman"/>
          <w:color w:val="00A44A"/>
          <w:sz w:val="24"/>
          <w:vertAlign w:val="superscript"/>
        </w:rPr>
        <w:fldChar w:fldCharType="separate"/>
      </w:r>
      <w:r>
        <w:rPr>
          <w:rFonts w:ascii="Times New Roman" w:hAnsi="Times New Roman" w:cs="Times New Roman"/>
          <w:color w:val="00A44A"/>
          <w:sz w:val="24"/>
          <w:vertAlign w:val="superscript"/>
        </w:rPr>
        <w:t>[1</w:t>
      </w:r>
      <w:r>
        <w:rPr>
          <w:color w:val="00A44A"/>
          <w:sz w:val="24"/>
          <w:vertAlign w:val="superscript"/>
        </w:rPr>
        <w:t>]</w:t>
      </w:r>
      <w:r>
        <w:rPr>
          <w:rFonts w:ascii="Times New Roman" w:hAnsi="Times New Roman" w:cs="Times New Roman"/>
          <w:color w:val="00A44A"/>
          <w:sz w:val="24"/>
          <w:vertAlign w:val="superscript"/>
        </w:rPr>
        <w:fldChar w:fldCharType="end"/>
      </w:r>
      <w:r>
        <w:rPr>
          <w:rFonts w:hint="eastAsia" w:ascii="宋体" w:hAnsi="宋体" w:cs="宋体"/>
          <w:color w:val="00A44A"/>
          <w:sz w:val="24"/>
        </w:rPr>
        <w:t>。如参考文献为文中直接说明，其序号与正文排齐。如：“由文献[</w:t>
      </w:r>
      <w:r>
        <w:rPr>
          <w:rFonts w:hint="eastAsia" w:ascii="Times New Roman" w:hAnsi="Times New Roman" w:cs="Times New Roman"/>
          <w:color w:val="00B050"/>
          <w:sz w:val="24"/>
        </w:rPr>
        <w:t>4-7</w:t>
      </w:r>
      <w:r>
        <w:rPr>
          <w:rFonts w:hint="eastAsia" w:ascii="宋体" w:hAnsi="宋体" w:cs="宋体"/>
          <w:color w:val="00A44A"/>
          <w:sz w:val="24"/>
        </w:rPr>
        <w:t>]可知……”）</w:t>
      </w:r>
    </w:p>
    <w:p>
      <w:pPr>
        <w:adjustRightInd w:val="0"/>
        <w:spacing w:line="360" w:lineRule="auto"/>
        <w:ind w:firstLine="480" w:firstLineChars="200"/>
        <w:jc w:val="left"/>
        <w:rPr>
          <w:rFonts w:asciiTheme="minorEastAsia" w:hAnsiTheme="minorEastAsia" w:cstheme="minorEastAsia"/>
          <w:sz w:val="24"/>
          <w:lang w:bidi="ar"/>
        </w:rPr>
      </w:pPr>
      <w:r>
        <w:rPr>
          <w:rFonts w:ascii="Times New Roman" w:hAnsi="Times New Roman" w:cs="Times New Roman"/>
          <w:sz w:val="24"/>
          <w:lang w:bidi="ar"/>
        </w:rPr>
        <w:t>20</w:t>
      </w:r>
      <w:r>
        <w:rPr>
          <w:rFonts w:hint="eastAsia" w:asciiTheme="minorEastAsia" w:hAnsiTheme="minorEastAsia" w:cstheme="minorEastAsia"/>
          <w:sz w:val="24"/>
          <w:lang w:bidi="ar"/>
        </w:rPr>
        <w:t>世纪</w:t>
      </w:r>
      <w:r>
        <w:rPr>
          <w:rFonts w:hint="eastAsia" w:ascii="Times New Roman" w:hAnsi="Times New Roman" w:cs="Times New Roman"/>
          <w:sz w:val="24"/>
          <w:lang w:bidi="ar"/>
        </w:rPr>
        <w:t>70</w:t>
      </w:r>
      <w:r>
        <w:rPr>
          <w:rFonts w:hint="eastAsia" w:asciiTheme="minorEastAsia" w:hAnsiTheme="minorEastAsia" w:cstheme="minorEastAsia"/>
          <w:sz w:val="24"/>
          <w:lang w:bidi="ar"/>
        </w:rPr>
        <w:t>年代，一些发达国家已经开始注重低能耗建筑建设，提出低能耗建筑的建设需求，如美国、加拿大这些国家已经也相继提出绿色建筑发展先行理念，并制定和出台绿色建筑标准和相关支撑规范文件。我国也在</w:t>
      </w:r>
      <w:r>
        <w:rPr>
          <w:rFonts w:hint="eastAsia" w:ascii="Times New Roman" w:hAnsi="Times New Roman" w:cs="Times New Roman"/>
          <w:sz w:val="24"/>
          <w:lang w:bidi="ar"/>
        </w:rPr>
        <w:t>2006</w:t>
      </w:r>
      <w:r>
        <w:rPr>
          <w:rFonts w:hint="eastAsia" w:asciiTheme="minorEastAsia" w:hAnsiTheme="minorEastAsia" w:cstheme="minorEastAsia"/>
          <w:sz w:val="24"/>
          <w:lang w:bidi="ar"/>
        </w:rPr>
        <w:t>年开始正式颁布《绿色建筑评价标准》……</w:t>
      </w:r>
    </w:p>
    <w:p>
      <w:pPr>
        <w:widowControl/>
        <w:spacing w:line="360" w:lineRule="auto"/>
        <w:ind w:firstLine="480" w:firstLineChars="200"/>
        <w:jc w:val="left"/>
        <w:rPr>
          <w:rFonts w:ascii="宋体" w:hAnsi="宋体" w:cs="宋体"/>
          <w:color w:val="00A44A"/>
          <w:sz w:val="24"/>
        </w:rPr>
      </w:pPr>
      <w:r>
        <w:rPr>
          <w:rFonts w:hint="eastAsia" w:ascii="宋体" w:hAnsi="宋体" w:cs="宋体"/>
          <w:color w:val="00A44A"/>
          <w:sz w:val="24"/>
        </w:rPr>
        <w:t>（正文：小四号宋体，</w:t>
      </w:r>
      <w:r>
        <w:rPr>
          <w:rFonts w:hint="eastAsia" w:ascii="Times New Roman" w:hAnsi="Times New Roman" w:cs="Times New Roman"/>
          <w:color w:val="00B050"/>
          <w:sz w:val="24"/>
        </w:rPr>
        <w:t>1.5</w:t>
      </w:r>
      <w:r>
        <w:rPr>
          <w:rFonts w:hint="eastAsia" w:ascii="宋体" w:hAnsi="宋体" w:cs="宋体"/>
          <w:color w:val="00A44A"/>
          <w:sz w:val="24"/>
        </w:rPr>
        <w:t>倍行距，段首空两个汉字宽度。字母和阿拉伯数字用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ascii="宋体" w:hAnsi="宋体" w:cs="宋体"/>
          <w:color w:val="00B050"/>
          <w:sz w:val="24"/>
        </w:rPr>
        <w:t>。</w:t>
      </w:r>
      <w:r>
        <w:rPr>
          <w:rFonts w:hint="eastAsia" w:ascii="宋体" w:hAnsi="宋体" w:cs="宋体"/>
          <w:color w:val="00A44A"/>
          <w:sz w:val="24"/>
        </w:rPr>
        <w:t>）</w:t>
      </w:r>
    </w:p>
    <w:bookmarkEnd w:id="41"/>
    <w:bookmarkEnd w:id="42"/>
    <w:bookmarkEnd w:id="43"/>
    <w:p>
      <w:pPr>
        <w:pStyle w:val="4"/>
        <w:spacing w:before="166" w:beforeLines="50" w:after="166" w:afterLines="50" w:line="360" w:lineRule="auto"/>
        <w:ind w:left="720" w:hanging="720"/>
        <w:rPr>
          <w:rFonts w:ascii="Times New Roman" w:hAnsi="Times New Roman" w:cs="Times New Roman"/>
          <w:color w:val="000000"/>
          <w:szCs w:val="28"/>
        </w:rPr>
        <w:sectPr>
          <w:footerReference r:id="rId9" w:type="first"/>
          <w:footerReference r:id="rId8" w:type="default"/>
          <w:pgSz w:w="11906" w:h="16838"/>
          <w:pgMar w:top="1417" w:right="1417" w:bottom="1417" w:left="1417" w:header="851" w:footer="850" w:gutter="0"/>
          <w:pgNumType w:start="1"/>
          <w:cols w:space="0" w:num="1"/>
          <w:titlePg/>
          <w:docGrid w:type="lines" w:linePitch="333" w:charSpace="0"/>
        </w:sectPr>
      </w:pPr>
      <w:bookmarkStart w:id="44" w:name="_Toc17769"/>
      <w:bookmarkStart w:id="45" w:name="_Toc2584"/>
      <w:bookmarkStart w:id="46" w:name="_Toc17907"/>
      <w:bookmarkStart w:id="47" w:name="_Toc6255"/>
      <w:bookmarkStart w:id="48" w:name="_Toc5251"/>
    </w:p>
    <w:bookmarkEnd w:id="44"/>
    <w:bookmarkEnd w:id="45"/>
    <w:bookmarkEnd w:id="46"/>
    <w:bookmarkEnd w:id="47"/>
    <w:bookmarkEnd w:id="48"/>
    <w:p>
      <w:pPr>
        <w:pStyle w:val="3"/>
        <w:spacing w:before="166" w:beforeLines="50" w:after="163" w:line="360" w:lineRule="auto"/>
        <w:jc w:val="left"/>
        <w:rPr>
          <w:rFonts w:cs="黑体"/>
          <w:color w:val="000000"/>
          <w:sz w:val="30"/>
          <w:szCs w:val="30"/>
        </w:rPr>
      </w:pPr>
      <w:bookmarkStart w:id="49" w:name="_Toc14666"/>
      <w:bookmarkStart w:id="50" w:name="_Toc16404"/>
      <w:bookmarkStart w:id="51" w:name="_Toc10729"/>
      <w:bookmarkStart w:id="52" w:name="_Toc8942"/>
      <w:bookmarkStart w:id="53" w:name="_Toc9925"/>
      <w:bookmarkStart w:id="54" w:name="_Toc19357"/>
      <w:r>
        <w:rPr>
          <w:rFonts w:hint="eastAsia" w:ascii="Times New Roman" w:hAnsi="Times New Roman" w:cs="Times New Roman"/>
          <w:color w:val="000000"/>
          <w:sz w:val="30"/>
          <w:szCs w:val="30"/>
        </w:rPr>
        <w:t>1.2</w:t>
      </w:r>
      <w:bookmarkEnd w:id="49"/>
      <w:bookmarkEnd w:id="50"/>
      <w:bookmarkEnd w:id="51"/>
      <w:bookmarkEnd w:id="52"/>
      <w:bookmarkEnd w:id="53"/>
      <w:bookmarkEnd w:id="54"/>
      <w:r>
        <w:rPr>
          <w:rFonts w:hint="eastAsia" w:cs="黑体"/>
          <w:color w:val="000000"/>
          <w:sz w:val="30"/>
          <w:szCs w:val="30"/>
        </w:rPr>
        <w:t>研究的意义</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发达国家在绿色建筑研究上可以用日新月异来形容，这些国家在绿色生态建筑设计方面研究的专著较多，且具有较高的现实参考价值。这些专著着力于推动绿色建筑技术和方法的革新，对绿色建筑设计的理念和技术进行系统性研究创新，凸显在设计过程中对于地区气候和自然环境的利用，充分发挥建筑本体自身调节的作用，同时借助新材料和新能源一体化开发利用，整体促进节能目标实现</w:t>
      </w:r>
      <w:r>
        <w:rPr>
          <w:rFonts w:hint="eastAsia"/>
          <w:sz w:val="24"/>
          <w:vertAlign w:val="superscript"/>
          <w:lang w:bidi="ar"/>
        </w:rPr>
        <w:t>[</w:t>
      </w:r>
      <w:r>
        <w:rPr>
          <w:rFonts w:ascii="Times New Roman" w:hAnsi="Times New Roman" w:cs="Times New Roman"/>
          <w:sz w:val="24"/>
          <w:vertAlign w:val="superscript"/>
          <w:lang w:bidi="ar"/>
        </w:rPr>
        <w:t>2</w:t>
      </w:r>
      <w:r>
        <w:rPr>
          <w:sz w:val="24"/>
          <w:vertAlign w:val="superscript"/>
          <w:lang w:bidi="ar"/>
        </w:rPr>
        <w:t>]</w:t>
      </w:r>
      <w:r>
        <w:rPr>
          <w:rFonts w:hint="eastAsia" w:asciiTheme="minorEastAsia" w:hAnsiTheme="minorEastAsia" w:cstheme="minorEastAsia"/>
          <w:sz w:val="24"/>
          <w:lang w:bidi="ar"/>
        </w:rPr>
        <w:t>。……</w:t>
      </w:r>
      <w:bookmarkStart w:id="55" w:name="_Toc29864"/>
      <w:bookmarkStart w:id="56" w:name="_Toc628"/>
    </w:p>
    <w:bookmarkEnd w:id="55"/>
    <w:bookmarkEnd w:id="56"/>
    <w:p>
      <w:pPr>
        <w:pStyle w:val="3"/>
        <w:spacing w:before="166" w:beforeLines="50" w:after="163" w:line="360" w:lineRule="auto"/>
        <w:jc w:val="left"/>
        <w:rPr>
          <w:rFonts w:cs="黑体"/>
          <w:color w:val="000000"/>
          <w:sz w:val="30"/>
          <w:szCs w:val="30"/>
        </w:rPr>
      </w:pPr>
      <w:bookmarkStart w:id="57" w:name="_Toc24401"/>
      <w:bookmarkStart w:id="58" w:name="_Toc13036"/>
      <w:bookmarkStart w:id="59" w:name="_Toc14651"/>
      <w:bookmarkStart w:id="60" w:name="_Toc26070"/>
      <w:bookmarkStart w:id="61" w:name="_Toc8929"/>
      <w:r>
        <w:rPr>
          <w:rFonts w:hint="eastAsia" w:ascii="Times New Roman" w:hAnsi="Times New Roman" w:cs="Times New Roman"/>
          <w:color w:val="000000"/>
          <w:sz w:val="30"/>
          <w:szCs w:val="30"/>
        </w:rPr>
        <w:t>1.3</w:t>
      </w:r>
      <w:r>
        <w:rPr>
          <w:rFonts w:hint="eastAsia" w:cs="黑体"/>
          <w:color w:val="000000"/>
          <w:sz w:val="30"/>
          <w:szCs w:val="30"/>
        </w:rPr>
        <w:t>研究内容与方法</w:t>
      </w:r>
      <w:bookmarkEnd w:id="57"/>
      <w:bookmarkEnd w:id="58"/>
      <w:bookmarkEnd w:id="59"/>
      <w:bookmarkEnd w:id="60"/>
      <w:bookmarkEnd w:id="61"/>
      <w:bookmarkStart w:id="62" w:name="_Toc13731"/>
      <w:bookmarkStart w:id="63" w:name="_Toc22299"/>
    </w:p>
    <w:p>
      <w:pPr>
        <w:pStyle w:val="4"/>
        <w:spacing w:before="166" w:beforeLines="50" w:after="166" w:afterLines="50" w:line="360" w:lineRule="auto"/>
      </w:pPr>
      <w:bookmarkStart w:id="64" w:name="_Toc15926"/>
      <w:bookmarkStart w:id="65" w:name="_Toc5541"/>
      <w:bookmarkStart w:id="66" w:name="_Toc11678"/>
      <w:bookmarkStart w:id="67" w:name="_Toc7744"/>
      <w:r>
        <w:rPr>
          <w:rFonts w:hint="eastAsia" w:ascii="Times New Roman" w:hAnsi="Times New Roman" w:cs="Times New Roman"/>
          <w:color w:val="000000"/>
          <w:szCs w:val="28"/>
        </w:rPr>
        <w:t>1.3.1</w:t>
      </w:r>
      <w:r>
        <w:rPr>
          <w:rFonts w:hint="eastAsia"/>
        </w:rPr>
        <w:t>研究内容</w:t>
      </w:r>
      <w:bookmarkEnd w:id="62"/>
      <w:bookmarkEnd w:id="63"/>
      <w:bookmarkEnd w:id="64"/>
      <w:bookmarkEnd w:id="65"/>
      <w:bookmarkEnd w:id="66"/>
      <w:bookmarkEnd w:id="6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主要针对现阶段绿色建筑设计实践中建筑师缺位困境进行反思，通过对国内外的绿色建筑研究现状进行分析，从绿色建筑的概念、绿色建筑评价体系出发，分析我国绿色建筑设计现存问题；再结合我国现行的《绿色建筑评价标准》，多层次多角度进行分析住宅绿色设计技术和策略梳理，提出相应设计措施。最后，在前面理论和策略技术铺垫下，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地块重点开发项目从建筑从设计理念、设计思维和设计要点等几个方面进行分析，形成系统、实用的绿色住宅设计策略，以期推动绿色建筑整体质量的提升。</w:t>
      </w:r>
    </w:p>
    <w:p>
      <w:pPr>
        <w:pStyle w:val="4"/>
        <w:spacing w:before="166" w:beforeLines="50" w:after="166" w:afterLines="50" w:line="360" w:lineRule="auto"/>
        <w:ind w:left="720" w:hanging="720"/>
        <w:rPr>
          <w:rFonts w:cs="黑体"/>
          <w:color w:val="000000"/>
          <w:szCs w:val="28"/>
        </w:rPr>
      </w:pPr>
      <w:bookmarkStart w:id="68" w:name="_Toc27782"/>
      <w:bookmarkStart w:id="69" w:name="_Toc30220"/>
      <w:bookmarkStart w:id="70" w:name="_Toc8577"/>
      <w:bookmarkStart w:id="71" w:name="_Toc19895"/>
      <w:bookmarkStart w:id="72" w:name="_Toc19214"/>
      <w:bookmarkStart w:id="73" w:name="_Toc30754"/>
      <w:r>
        <w:rPr>
          <w:rFonts w:hint="eastAsia" w:ascii="Times New Roman" w:hAnsi="Times New Roman" w:cs="Times New Roman"/>
          <w:color w:val="000000"/>
          <w:szCs w:val="28"/>
        </w:rPr>
        <w:t>1.3.2</w:t>
      </w:r>
      <w:r>
        <w:rPr>
          <w:rFonts w:hint="eastAsia" w:cs="黑体"/>
          <w:color w:val="000000"/>
          <w:szCs w:val="28"/>
        </w:rPr>
        <w:t>研究方法</w:t>
      </w:r>
      <w:bookmarkEnd w:id="68"/>
      <w:bookmarkEnd w:id="69"/>
      <w:bookmarkEnd w:id="70"/>
      <w:bookmarkEnd w:id="71"/>
      <w:bookmarkEnd w:id="72"/>
      <w:bookmarkEnd w:id="73"/>
    </w:p>
    <w:p>
      <w:pPr>
        <w:adjustRightInd w:val="0"/>
        <w:spacing w:line="360" w:lineRule="auto"/>
        <w:ind w:firstLine="480" w:firstLineChars="200"/>
        <w:jc w:val="left"/>
        <w:rPr>
          <w:rFonts w:ascii="宋体" w:hAnsi="宋体" w:cs="宋体"/>
          <w:sz w:val="24"/>
          <w:lang w:bidi="ar"/>
        </w:rPr>
      </w:pPr>
      <w:r>
        <w:rPr>
          <w:rFonts w:hint="eastAsia" w:asciiTheme="minorEastAsia" w:hAnsiTheme="minorEastAsia" w:cstheme="minorEastAsia"/>
          <w:sz w:val="24"/>
          <w:lang w:bidi="ar"/>
        </w:rPr>
        <w:t>文献归纳与实地调研结合法：通过对国内外各种学术期刊、著作等研究文献的收集与研读，从核心期刊和国内内外知名研究团队研究最新成果入手，确保内容的创新性与准确性。……</w:t>
      </w:r>
    </w:p>
    <w:p>
      <w:pPr>
        <w:adjustRightInd w:val="0"/>
        <w:spacing w:line="360" w:lineRule="auto"/>
        <w:ind w:firstLine="480" w:firstLineChars="200"/>
        <w:jc w:val="left"/>
        <w:rPr>
          <w:rFonts w:ascii="宋体" w:hAnsi="宋体" w:cs="宋体"/>
          <w:sz w:val="24"/>
          <w:lang w:bidi="ar"/>
        </w:rPr>
        <w:sectPr>
          <w:footerReference r:id="rId11" w:type="first"/>
          <w:footerReference r:id="rId10" w:type="default"/>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74" w:name="_Toc8542"/>
      <w:bookmarkStart w:id="75" w:name="_Toc31665"/>
      <w:bookmarkStart w:id="76" w:name="_Toc19860"/>
      <w:bookmarkStart w:id="77" w:name="_Toc4483"/>
      <w:bookmarkStart w:id="78" w:name="_Toc5474"/>
      <w:bookmarkStart w:id="79" w:name="_Toc6228"/>
      <w:r>
        <w:rPr>
          <w:rFonts w:hint="eastAsia" w:ascii="黑体" w:hAnsi="黑体" w:eastAsia="黑体" w:cs="黑体"/>
          <w:sz w:val="36"/>
          <w:szCs w:val="36"/>
        </w:rPr>
        <w:t xml:space="preserve">第二章 </w:t>
      </w:r>
      <w:bookmarkEnd w:id="74"/>
      <w:bookmarkEnd w:id="75"/>
      <w:bookmarkEnd w:id="76"/>
      <w:bookmarkEnd w:id="77"/>
      <w:bookmarkEnd w:id="78"/>
      <w:bookmarkEnd w:id="79"/>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80" w:name="_Toc14248"/>
      <w:bookmarkStart w:id="81" w:name="_Toc18825"/>
      <w:bookmarkStart w:id="82" w:name="_Toc5628"/>
      <w:bookmarkStart w:id="83" w:name="_Toc2956"/>
      <w:bookmarkStart w:id="84" w:name="_Toc31056"/>
      <w:bookmarkStart w:id="85" w:name="_Toc27150"/>
      <w:r>
        <w:rPr>
          <w:rFonts w:hint="eastAsia" w:ascii="Times New Roman" w:hAnsi="Times New Roman" w:cs="Times New Roman"/>
          <w:color w:val="000000"/>
          <w:sz w:val="30"/>
          <w:szCs w:val="30"/>
          <w:lang w:eastAsia="zh-Hans"/>
        </w:rPr>
        <w:t>2.1</w:t>
      </w:r>
      <w:bookmarkEnd w:id="80"/>
      <w:bookmarkEnd w:id="81"/>
      <w:bookmarkEnd w:id="82"/>
      <w:bookmarkEnd w:id="83"/>
      <w:bookmarkEnd w:id="84"/>
      <w:bookmarkEnd w:id="85"/>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86"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87" w:name="_Toc4076"/>
      <w:bookmarkStart w:id="88" w:name="_Toc2785"/>
      <w:bookmarkStart w:id="89" w:name="_Toc4749"/>
      <w:bookmarkStart w:id="90" w:name="_Toc26707"/>
      <w:bookmarkStart w:id="91" w:name="_Toc3455"/>
      <w:r>
        <w:rPr>
          <w:rFonts w:hint="eastAsia" w:ascii="Times New Roman" w:hAnsi="Times New Roman" w:cs="Times New Roman"/>
          <w:color w:val="000000"/>
          <w:sz w:val="30"/>
          <w:szCs w:val="30"/>
          <w:lang w:eastAsia="zh-Hans"/>
        </w:rPr>
        <w:t>2.2</w:t>
      </w:r>
      <w:bookmarkEnd w:id="86"/>
      <w:bookmarkEnd w:id="87"/>
      <w:bookmarkEnd w:id="88"/>
      <w:bookmarkEnd w:id="89"/>
      <w:bookmarkEnd w:id="90"/>
      <w:bookmarkEnd w:id="91"/>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92" w:name="_Toc6800"/>
      <w:bookmarkStart w:id="93" w:name="_Toc2574"/>
      <w:bookmarkStart w:id="94" w:name="_Toc24437"/>
      <w:bookmarkStart w:id="95" w:name="_Toc25830"/>
      <w:bookmarkStart w:id="96" w:name="_Toc9815"/>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246880" cy="2677160"/>
                    </a:xfrm>
                    <a:prstGeom prst="rect">
                      <a:avLst/>
                    </a:prstGeom>
                    <a:noFill/>
                    <a:ln>
                      <a:noFill/>
                    </a:ln>
                  </pic:spPr>
                </pic:pic>
              </a:graphicData>
            </a:graphic>
          </wp:inline>
        </w:drawing>
      </w:r>
    </w:p>
    <w:p>
      <w:pPr>
        <w:pStyle w:val="5"/>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2</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92"/>
      <w:bookmarkEnd w:id="93"/>
      <w:bookmarkEnd w:id="94"/>
      <w:bookmarkEnd w:id="95"/>
      <w:bookmarkEnd w:id="96"/>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97" w:name="_Toc32393"/>
      <w:bookmarkStart w:id="98" w:name="_Toc392"/>
      <w:bookmarkStart w:id="99" w:name="_Toc30744"/>
      <w:bookmarkStart w:id="100" w:name="_Toc18394"/>
      <w:bookmarkStart w:id="101" w:name="_Toc28933"/>
      <w:bookmarkStart w:id="102"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49" w:name="_GoBack"/>
      <w:bookmarkEnd w:id="149"/>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97"/>
      <w:bookmarkEnd w:id="98"/>
      <w:bookmarkEnd w:id="99"/>
      <w:bookmarkEnd w:id="100"/>
      <w:bookmarkEnd w:id="101"/>
      <w:bookmarkEnd w:id="102"/>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103" w:name="_Toc21160"/>
      <w:bookmarkStart w:id="104" w:name="_Toc28698"/>
      <w:bookmarkStart w:id="105" w:name="_Toc3751"/>
      <w:bookmarkStart w:id="106" w:name="_Toc30966"/>
      <w:bookmarkStart w:id="107" w:name="_Toc15828"/>
      <w:bookmarkStart w:id="108" w:name="_Toc1094"/>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103"/>
      <w:bookmarkEnd w:id="104"/>
      <w:bookmarkEnd w:id="105"/>
      <w:bookmarkEnd w:id="106"/>
      <w:bookmarkEnd w:id="107"/>
      <w:bookmarkEnd w:id="108"/>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109" w:name="_Toc32402"/>
      <w:bookmarkStart w:id="110" w:name="_Toc25620"/>
      <w:bookmarkStart w:id="111" w:name="_Toc24274"/>
      <w:bookmarkStart w:id="112" w:name="_Toc21975"/>
      <w:bookmarkStart w:id="113" w:name="_Toc25451"/>
      <w:bookmarkStart w:id="114" w:name="_Toc7721"/>
      <w:r>
        <w:rPr>
          <w:rFonts w:hint="eastAsia" w:ascii="黑体" w:hAnsi="黑体" w:eastAsia="黑体" w:cs="黑体"/>
          <w:sz w:val="36"/>
          <w:szCs w:val="36"/>
        </w:rPr>
        <w:t xml:space="preserve">第三章 </w:t>
      </w:r>
      <w:bookmarkEnd w:id="109"/>
      <w:bookmarkEnd w:id="110"/>
      <w:bookmarkEnd w:id="111"/>
      <w:bookmarkEnd w:id="112"/>
      <w:bookmarkEnd w:id="113"/>
      <w:bookmarkEnd w:id="114"/>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rPr>
          <w:rFonts w:hint="default" w:eastAsiaTheme="minorEastAsia"/>
          <w:lang w:val="en-US" w:eastAsia="zh-CN"/>
        </w:rPr>
      </w:pPr>
      <w:r>
        <w:rPr>
          <w:rFonts w:hint="eastAsia"/>
          <w:lang w:val="en-US" w:eastAsia="zh-Hans"/>
        </w:rPr>
        <w:t>用户登录需要能够支持短信登录</w:t>
      </w:r>
      <w:r>
        <w:rPr>
          <w:rFonts w:hint="default"/>
          <w:lang w:eastAsia="zh-Hans"/>
        </w:rPr>
        <w:t>，</w:t>
      </w:r>
      <w:r>
        <w:rPr>
          <w:rFonts w:hint="eastAsia"/>
          <w:lang w:val="en-US" w:eastAsia="zh-Hans"/>
        </w:rPr>
        <w:t>密码登录</w:t>
      </w:r>
      <w:r>
        <w:rPr>
          <w:rFonts w:hint="default"/>
          <w:lang w:eastAsia="zh-Hans"/>
        </w:rPr>
        <w:t>，</w:t>
      </w:r>
      <w:r>
        <w:rPr>
          <w:rFonts w:hint="eastAsia"/>
          <w:lang w:val="en-US" w:eastAsia="zh-Hans"/>
        </w:rPr>
        <w:t>用户的权限包括普通用户和会员用户</w:t>
      </w:r>
      <w:r>
        <w:rPr>
          <w:rFonts w:hint="eastAsia"/>
          <w:lang w:val="en-US" w:eastAsia="zh-CN"/>
        </w:rPr>
        <w:t>。</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rPr>
          <w:rFonts w:hint="eastAsia"/>
          <w:lang w:val="en-US" w:eastAsia="zh-Hans"/>
        </w:rPr>
      </w:pPr>
      <w:r>
        <w:rPr>
          <w:rFonts w:hint="eastAsia"/>
          <w:lang w:val="en-US" w:eastAsia="zh-Hans"/>
        </w:rPr>
        <w:t>在陌生人社交中</w:t>
      </w:r>
      <w:r>
        <w:rPr>
          <w:rFonts w:hint="default"/>
          <w:lang w:eastAsia="zh-Hans"/>
        </w:rPr>
        <w:t>，</w:t>
      </w:r>
      <w:r>
        <w:rPr>
          <w:rFonts w:hint="eastAsia"/>
          <w:lang w:val="en-US" w:eastAsia="zh-Hans"/>
        </w:rPr>
        <w:t>应允许单边好友关系</w:t>
      </w:r>
      <w:r>
        <w:rPr>
          <w:rFonts w:hint="default"/>
          <w:lang w:eastAsia="zh-Hans"/>
        </w:rPr>
        <w:t>，</w:t>
      </w:r>
      <w:r>
        <w:rPr>
          <w:rFonts w:hint="eastAsia"/>
          <w:lang w:val="en-US" w:eastAsia="zh-Hans"/>
        </w:rPr>
        <w:t>即双向陌生人</w:t>
      </w:r>
      <w:r>
        <w:rPr>
          <w:rFonts w:hint="default"/>
          <w:lang w:eastAsia="zh-Hans"/>
        </w:rPr>
        <w:t>、</w:t>
      </w:r>
      <w:r>
        <w:rPr>
          <w:rFonts w:hint="eastAsia"/>
          <w:lang w:val="en-US" w:eastAsia="zh-Hans"/>
        </w:rPr>
        <w:t>单向关注</w:t>
      </w:r>
      <w:r>
        <w:rPr>
          <w:rFonts w:hint="default"/>
          <w:lang w:eastAsia="zh-Hans"/>
        </w:rPr>
        <w:t>、</w:t>
      </w:r>
      <w:r>
        <w:rPr>
          <w:rFonts w:hint="eastAsia"/>
          <w:lang w:val="en-US" w:eastAsia="zh-Hans"/>
        </w:rPr>
        <w:t>双向关注</w:t>
      </w:r>
      <w:r>
        <w:rPr>
          <w:rFonts w:hint="default"/>
          <w:lang w:eastAsia="zh-Hans"/>
        </w:rPr>
        <w:t>、</w:t>
      </w:r>
      <w:r>
        <w:rPr>
          <w:rFonts w:hint="eastAsia"/>
          <w:lang w:val="en-US" w:eastAsia="zh-Hans"/>
        </w:rPr>
        <w:t>拉黑关系</w:t>
      </w:r>
      <w:r>
        <w:rPr>
          <w:rFonts w:hint="default"/>
          <w:lang w:eastAsia="zh-Hans"/>
        </w:rPr>
        <w:t>。</w:t>
      </w:r>
      <w:r>
        <w:rPr>
          <w:rFonts w:hint="eastAsia"/>
          <w:lang w:val="en-US" w:eastAsia="zh-Hans"/>
        </w:rPr>
        <w:t>用户的行为可以有两种</w:t>
      </w:r>
      <w:r>
        <w:rPr>
          <w:rFonts w:hint="default"/>
          <w:lang w:eastAsia="zh-Hans"/>
        </w:rPr>
        <w:t>：1</w:t>
      </w:r>
      <w:r>
        <w:rPr>
          <w:rFonts w:hint="eastAsia"/>
          <w:lang w:val="en-US" w:eastAsia="zh-Hans"/>
        </w:rPr>
        <w:t>.关注</w:t>
      </w:r>
      <w:r>
        <w:rPr>
          <w:rFonts w:hint="default"/>
          <w:lang w:eastAsia="zh-Hans"/>
        </w:rPr>
        <w:t>/</w:t>
      </w:r>
      <w:r>
        <w:rPr>
          <w:rFonts w:hint="eastAsia"/>
          <w:lang w:val="en-US" w:eastAsia="zh-Hans"/>
        </w:rPr>
        <w:t>取消关注</w:t>
      </w:r>
      <w:r>
        <w:rPr>
          <w:rFonts w:hint="default"/>
          <w:lang w:eastAsia="zh-Hans"/>
        </w:rPr>
        <w:t xml:space="preserve"> 2</w:t>
      </w:r>
      <w:r>
        <w:rPr>
          <w:rFonts w:hint="eastAsia"/>
          <w:lang w:val="en-US" w:eastAsia="zh-Hans"/>
        </w:rPr>
        <w:t>.发起</w:t>
      </w:r>
      <w:r>
        <w:rPr>
          <w:rFonts w:hint="default"/>
          <w:lang w:eastAsia="zh-Hans"/>
        </w:rPr>
        <w:t>/</w:t>
      </w:r>
      <w:r>
        <w:rPr>
          <w:rFonts w:hint="eastAsia"/>
          <w:lang w:val="en-US" w:eastAsia="zh-Hans"/>
        </w:rPr>
        <w:t>取消拉黑</w:t>
      </w:r>
    </w:p>
    <w:p>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947160" cy="3140710"/>
                    </a:xfrm>
                    <a:prstGeom prst="rect">
                      <a:avLst/>
                    </a:prstGeom>
                    <a:noFill/>
                    <a:ln>
                      <a:noFill/>
                    </a:ln>
                  </pic:spPr>
                </pic:pic>
              </a:graphicData>
            </a:graphic>
          </wp:inline>
        </w:drawing>
      </w:r>
    </w:p>
    <w:p>
      <w:pPr>
        <w:rPr>
          <w:rFonts w:hint="default"/>
          <w:lang w:val="en-US" w:eastAsia="zh-Hans"/>
        </w:rP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2936875" cy="3712845"/>
                    </a:xfrm>
                    <a:prstGeom prst="rect">
                      <a:avLst/>
                    </a:prstGeom>
                    <a:noFill/>
                    <a:ln>
                      <a:noFill/>
                    </a:ln>
                  </pic:spPr>
                </pic:pic>
              </a:graphicData>
            </a:graphic>
          </wp:inline>
        </w:drawing>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rPr>
          <w:rFonts w:hint="default" w:eastAsiaTheme="minorEastAsia"/>
          <w:lang w:val="en-US" w:eastAsia="zh-CN"/>
        </w:rPr>
      </w:pPr>
      <w:r>
        <w:rPr>
          <w:rFonts w:hint="eastAsia"/>
          <w:lang w:val="en-US" w:eastAsia="zh-CN"/>
        </w:rPr>
        <w:t>用户动态作为一种社交名片，需要被展示给好友及陌生人查看。当用户发布</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pStyle w:val="3"/>
        <w:spacing w:before="166" w:beforeLines="50" w:after="163" w:line="360" w:lineRule="auto"/>
        <w:jc w:val="left"/>
        <w:rPr>
          <w:rFonts w:hint="default" w:eastAsia="黑体" w:cs="黑体"/>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pStyle w:val="3"/>
        <w:spacing w:before="166" w:beforeLines="50" w:after="163" w:line="360" w:lineRule="auto"/>
        <w:jc w:val="left"/>
        <w:rPr>
          <w:rFonts w:cs="黑体"/>
          <w:color w:val="000000"/>
          <w:sz w:val="30"/>
          <w:szCs w:val="30"/>
        </w:rPr>
      </w:pPr>
      <w:bookmarkStart w:id="115" w:name="_Toc6344"/>
      <w:bookmarkStart w:id="116" w:name="_Toc30224"/>
      <w:bookmarkStart w:id="117" w:name="_Toc1756"/>
      <w:bookmarkStart w:id="118" w:name="_Toc32674"/>
      <w:bookmarkStart w:id="119" w:name="_Toc15259"/>
      <w:bookmarkStart w:id="120" w:name="_Toc24461"/>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15"/>
      <w:bookmarkEnd w:id="116"/>
      <w:bookmarkEnd w:id="117"/>
      <w:bookmarkEnd w:id="118"/>
      <w:bookmarkEnd w:id="119"/>
      <w:bookmarkEnd w:id="120"/>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章主要结合广东地区绿色建筑特点，提出广东绿色高层住宅设计应充分考虑当地气候特点，因地制宜，重点应用自然通风、采光、隔热等被动式绿色节能技术。同时从住区优化空间布局、户型具体设计及标准层优化、建筑全寿命周期三个角度详细阐述了住宅建筑的设计策略。</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21" w:name="_Toc8112"/>
      <w:bookmarkStart w:id="122" w:name="_Toc22870"/>
      <w:bookmarkStart w:id="123" w:name="_Toc16891"/>
      <w:bookmarkStart w:id="124" w:name="_Toc11204"/>
      <w:bookmarkStart w:id="125" w:name="_Toc3462"/>
      <w:bookmarkStart w:id="126" w:name="_Toc11349"/>
      <w:r>
        <w:rPr>
          <w:rFonts w:hint="eastAsia" w:ascii="黑体" w:hAnsi="黑体" w:eastAsia="黑体" w:cs="黑体"/>
          <w:sz w:val="36"/>
          <w:szCs w:val="36"/>
        </w:rPr>
        <w:t xml:space="preserve">第四章 </w:t>
      </w:r>
      <w:bookmarkEnd w:id="121"/>
      <w:bookmarkEnd w:id="122"/>
      <w:bookmarkEnd w:id="123"/>
      <w:bookmarkEnd w:id="124"/>
      <w:bookmarkEnd w:id="125"/>
      <w:bookmarkEnd w:id="126"/>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127" w:name="_Toc32365"/>
      <w:bookmarkStart w:id="128" w:name="_Toc21055"/>
      <w:bookmarkStart w:id="129" w:name="_Toc10425"/>
      <w:bookmarkStart w:id="130" w:name="_Toc13335"/>
      <w:bookmarkStart w:id="131" w:name="_Toc1941"/>
      <w:bookmarkStart w:id="132" w:name="_Toc5237"/>
      <w:r>
        <w:rPr>
          <w:rFonts w:hint="eastAsia" w:ascii="Times New Roman" w:hAnsi="Times New Roman" w:cs="Times New Roman"/>
          <w:color w:val="000000"/>
          <w:sz w:val="30"/>
          <w:szCs w:val="30"/>
        </w:rPr>
        <w:t>4.1</w:t>
      </w:r>
      <w:bookmarkEnd w:id="127"/>
      <w:bookmarkEnd w:id="128"/>
      <w:bookmarkEnd w:id="129"/>
      <w:bookmarkEnd w:id="130"/>
      <w:bookmarkEnd w:id="131"/>
      <w:bookmarkEnd w:id="132"/>
      <w:r>
        <w:rPr>
          <w:rFonts w:hint="eastAsia" w:ascii="Times New Roman" w:hAnsi="Times New Roman" w:cs="Times New Roman"/>
          <w:color w:val="000000"/>
          <w:sz w:val="30"/>
          <w:szCs w:val="30"/>
          <w:lang w:val="en-US" w:eastAsia="zh-Hans"/>
        </w:rPr>
        <w:t>微服务架构设计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关注好友流程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33" w:name="_Toc19958"/>
      <w:bookmarkStart w:id="134" w:name="_Toc17900"/>
      <w:bookmarkStart w:id="135" w:name="_Toc28854"/>
      <w:bookmarkStart w:id="136" w:name="_Toc17062"/>
      <w:bookmarkStart w:id="137" w:name="_Toc18139"/>
      <w:r>
        <w:rPr>
          <w:rFonts w:hint="eastAsia" w:ascii="黑体" w:hAnsi="黑体" w:eastAsia="黑体" w:cs="黑体"/>
          <w:sz w:val="36"/>
          <w:szCs w:val="36"/>
        </w:rPr>
        <w:t>结  论</w:t>
      </w:r>
      <w:bookmarkEnd w:id="133"/>
      <w:bookmarkEnd w:id="134"/>
      <w:bookmarkEnd w:id="135"/>
      <w:bookmarkEnd w:id="136"/>
      <w:bookmarkEnd w:id="13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38" w:name="_Toc26095"/>
      <w:bookmarkStart w:id="139" w:name="_Toc21722"/>
      <w:bookmarkStart w:id="140" w:name="_Toc5109"/>
      <w:bookmarkStart w:id="141" w:name="_Toc3050"/>
      <w:bookmarkStart w:id="142" w:name="_Toc16532"/>
      <w:r>
        <w:rPr>
          <w:rFonts w:hint="eastAsia" w:ascii="黑体" w:hAnsi="黑体" w:eastAsia="黑体" w:cs="黑体"/>
          <w:sz w:val="36"/>
          <w:szCs w:val="36"/>
        </w:rPr>
        <w:t>参考文献</w:t>
      </w:r>
      <w:bookmarkEnd w:id="138"/>
      <w:bookmarkEnd w:id="139"/>
      <w:bookmarkEnd w:id="140"/>
      <w:bookmarkEnd w:id="141"/>
      <w:bookmarkEnd w:id="142"/>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
        </w:numPr>
        <w:spacing w:line="360" w:lineRule="auto"/>
        <w:rPr>
          <w:rFonts w:hint="eastAsia" w:ascii="宋体" w:hAnsi="宋体" w:cs="宋体"/>
          <w:sz w:val="24"/>
        </w:rPr>
      </w:pPr>
      <w:bookmarkStart w:id="143" w:name="_Ref424769592"/>
      <w:r>
        <w:rPr>
          <w:rFonts w:hint="eastAsia" w:ascii="宋体" w:hAnsi="宋体" w:cs="宋体"/>
          <w:sz w:val="24"/>
        </w:rPr>
        <w:t>辛园园,钮俊,谢志军,张开乐,毛昕怡.微服务体系结构实现框架综述[J].计算机工程与应用,2018,54(19):10-17.</w:t>
      </w:r>
    </w:p>
    <w:p>
      <w:pPr>
        <w:numPr>
          <w:ilvl w:val="0"/>
          <w:numId w:val="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43"/>
    <w:p>
      <w:pPr>
        <w:pStyle w:val="2"/>
        <w:spacing w:before="333" w:beforeLines="100" w:after="333" w:afterLines="100" w:line="360" w:lineRule="auto"/>
        <w:jc w:val="both"/>
        <w:rPr>
          <w:sz w:val="36"/>
          <w:szCs w:val="36"/>
        </w:rPr>
        <w:sectPr>
          <w:headerReference r:id="rId12" w:type="default"/>
          <w:footerReference r:id="rId13" w:type="default"/>
          <w:pgSz w:w="11906" w:h="16838"/>
          <w:pgMar w:top="1417" w:right="1417" w:bottom="1417" w:left="1417" w:header="851" w:footer="850" w:gutter="0"/>
          <w:cols w:space="0" w:num="1"/>
          <w:titlePg/>
          <w:docGrid w:type="lines" w:linePitch="333" w:charSpace="0"/>
        </w:sectPr>
      </w:pPr>
      <w:bookmarkStart w:id="144" w:name="_Toc1552"/>
      <w:bookmarkStart w:id="145" w:name="_Toc3933"/>
      <w:bookmarkStart w:id="146" w:name="_Toc2787"/>
      <w:bookmarkStart w:id="147" w:name="_Toc5647"/>
    </w:p>
    <w:p>
      <w:pPr>
        <w:pStyle w:val="2"/>
        <w:spacing w:before="240" w:beforeLines="100" w:after="240" w:afterLines="100" w:line="360" w:lineRule="auto"/>
        <w:jc w:val="center"/>
        <w:rPr>
          <w:rFonts w:ascii="黑体" w:hAnsi="黑体" w:eastAsia="黑体" w:cs="黑体"/>
          <w:sz w:val="36"/>
          <w:szCs w:val="36"/>
        </w:rPr>
      </w:pPr>
      <w:bookmarkStart w:id="148" w:name="_Toc7325"/>
      <w:r>
        <w:rPr>
          <w:rFonts w:hint="eastAsia" w:ascii="黑体" w:hAnsi="黑体" w:eastAsia="黑体" w:cs="黑体"/>
          <w:sz w:val="36"/>
          <w:szCs w:val="36"/>
        </w:rPr>
        <w:t>致  谢</w:t>
      </w:r>
      <w:bookmarkEnd w:id="144"/>
      <w:bookmarkEnd w:id="145"/>
      <w:bookmarkEnd w:id="146"/>
      <w:bookmarkEnd w:id="147"/>
      <w:bookmarkEnd w:id="148"/>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6"/>
      </w:pPr>
    </w:p>
    <w:p>
      <w:pPr>
        <w:pStyle w:val="43"/>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1"/>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F330841"/>
    <w:rsid w:val="10147DF9"/>
    <w:rsid w:val="10281F97"/>
    <w:rsid w:val="10C4615F"/>
    <w:rsid w:val="11CC5D5E"/>
    <w:rsid w:val="121D7DDC"/>
    <w:rsid w:val="13DA1C1D"/>
    <w:rsid w:val="14116861"/>
    <w:rsid w:val="14370794"/>
    <w:rsid w:val="143D1857"/>
    <w:rsid w:val="14774FC3"/>
    <w:rsid w:val="14FA2483"/>
    <w:rsid w:val="162154CB"/>
    <w:rsid w:val="16E341D5"/>
    <w:rsid w:val="17265C3F"/>
    <w:rsid w:val="18A57E56"/>
    <w:rsid w:val="1B3B1964"/>
    <w:rsid w:val="1B464895"/>
    <w:rsid w:val="1BF3410F"/>
    <w:rsid w:val="1D64247C"/>
    <w:rsid w:val="1D785F30"/>
    <w:rsid w:val="1D9B4253"/>
    <w:rsid w:val="1E8E6C72"/>
    <w:rsid w:val="1E9A0CC3"/>
    <w:rsid w:val="1EFB13A9"/>
    <w:rsid w:val="1FFC6D6F"/>
    <w:rsid w:val="206E553A"/>
    <w:rsid w:val="20C932CD"/>
    <w:rsid w:val="216F133C"/>
    <w:rsid w:val="219C54B1"/>
    <w:rsid w:val="21E068AB"/>
    <w:rsid w:val="222A7924"/>
    <w:rsid w:val="22945F42"/>
    <w:rsid w:val="22E03FB8"/>
    <w:rsid w:val="23BD5235"/>
    <w:rsid w:val="24672BF0"/>
    <w:rsid w:val="24BC32A3"/>
    <w:rsid w:val="25082053"/>
    <w:rsid w:val="25AA6733"/>
    <w:rsid w:val="274F1C25"/>
    <w:rsid w:val="28B109D5"/>
    <w:rsid w:val="29C45C8D"/>
    <w:rsid w:val="29FB069A"/>
    <w:rsid w:val="2C4C2E8A"/>
    <w:rsid w:val="2D087D89"/>
    <w:rsid w:val="2E6D64F7"/>
    <w:rsid w:val="2E832FBA"/>
    <w:rsid w:val="2F9E6829"/>
    <w:rsid w:val="305F2CE5"/>
    <w:rsid w:val="309D7EF0"/>
    <w:rsid w:val="30F95A03"/>
    <w:rsid w:val="3173278C"/>
    <w:rsid w:val="317D0E94"/>
    <w:rsid w:val="33915994"/>
    <w:rsid w:val="341C69C3"/>
    <w:rsid w:val="347DEFEA"/>
    <w:rsid w:val="34835452"/>
    <w:rsid w:val="352E7DA7"/>
    <w:rsid w:val="35984358"/>
    <w:rsid w:val="36E64758"/>
    <w:rsid w:val="379B37E3"/>
    <w:rsid w:val="37DFB9B1"/>
    <w:rsid w:val="38C01A16"/>
    <w:rsid w:val="3954080D"/>
    <w:rsid w:val="396240F3"/>
    <w:rsid w:val="3ACD2F04"/>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43617F1"/>
    <w:rsid w:val="44EA26A4"/>
    <w:rsid w:val="4545109E"/>
    <w:rsid w:val="45971C8D"/>
    <w:rsid w:val="46855B79"/>
    <w:rsid w:val="46AB0037"/>
    <w:rsid w:val="47853823"/>
    <w:rsid w:val="47F8757D"/>
    <w:rsid w:val="487E5BD4"/>
    <w:rsid w:val="489C4B2F"/>
    <w:rsid w:val="48FE4402"/>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2382470"/>
    <w:rsid w:val="5454754E"/>
    <w:rsid w:val="55132E91"/>
    <w:rsid w:val="55C73070"/>
    <w:rsid w:val="56F81F2D"/>
    <w:rsid w:val="57DF7738"/>
    <w:rsid w:val="57EF3409"/>
    <w:rsid w:val="5A8D7162"/>
    <w:rsid w:val="5AA34EB0"/>
    <w:rsid w:val="5C07480C"/>
    <w:rsid w:val="5D54019D"/>
    <w:rsid w:val="5DBC166D"/>
    <w:rsid w:val="5DEF099D"/>
    <w:rsid w:val="5F3E6C4E"/>
    <w:rsid w:val="5F77803C"/>
    <w:rsid w:val="5F7A7422"/>
    <w:rsid w:val="5F87151F"/>
    <w:rsid w:val="5F9164C6"/>
    <w:rsid w:val="5FE43454"/>
    <w:rsid w:val="617356B6"/>
    <w:rsid w:val="6178470D"/>
    <w:rsid w:val="61AD5C1A"/>
    <w:rsid w:val="622B5FA1"/>
    <w:rsid w:val="62574C49"/>
    <w:rsid w:val="6277403B"/>
    <w:rsid w:val="62EF64B1"/>
    <w:rsid w:val="636266DE"/>
    <w:rsid w:val="636D5C6E"/>
    <w:rsid w:val="63D1148D"/>
    <w:rsid w:val="6500577C"/>
    <w:rsid w:val="66B07869"/>
    <w:rsid w:val="673B095E"/>
    <w:rsid w:val="674F3BC5"/>
    <w:rsid w:val="67E062C9"/>
    <w:rsid w:val="68587EB8"/>
    <w:rsid w:val="699C5FBF"/>
    <w:rsid w:val="6B086E3C"/>
    <w:rsid w:val="6B5D716B"/>
    <w:rsid w:val="6C9611B5"/>
    <w:rsid w:val="6DDD211E"/>
    <w:rsid w:val="6DEDCCC6"/>
    <w:rsid w:val="6E5E6A52"/>
    <w:rsid w:val="6EB45A2B"/>
    <w:rsid w:val="6EEB1C9F"/>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81D713C"/>
    <w:rsid w:val="79E43F51"/>
    <w:rsid w:val="7AB46F33"/>
    <w:rsid w:val="7BD40020"/>
    <w:rsid w:val="7D091C83"/>
    <w:rsid w:val="7D3C40A4"/>
    <w:rsid w:val="7D4A2BDC"/>
    <w:rsid w:val="7D690936"/>
    <w:rsid w:val="7E725E4F"/>
    <w:rsid w:val="7ED6266E"/>
    <w:rsid w:val="7F561402"/>
    <w:rsid w:val="7F785AED"/>
    <w:rsid w:val="7F957832"/>
    <w:rsid w:val="7FB2E720"/>
    <w:rsid w:val="7FF47CBF"/>
    <w:rsid w:val="8FD53439"/>
    <w:rsid w:val="BFEB8F11"/>
    <w:rsid w:val="D6A6A11A"/>
    <w:rsid w:val="DD9F32D7"/>
    <w:rsid w:val="EAEABABF"/>
    <w:rsid w:val="FEAE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2"/>
    <w:qFormat/>
    <w:uiPriority w:val="0"/>
    <w:pPr>
      <w:keepNext/>
      <w:keepLines/>
      <w:spacing w:before="340" w:after="330" w:line="576" w:lineRule="auto"/>
      <w:outlineLvl w:val="0"/>
    </w:pPr>
    <w:rPr>
      <w:b/>
      <w:kern w:val="44"/>
      <w:sz w:val="44"/>
    </w:rPr>
  </w:style>
  <w:style w:type="paragraph" w:styleId="3">
    <w:name w:val="heading 2"/>
    <w:basedOn w:val="1"/>
    <w:next w:val="1"/>
    <w:link w:val="4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link w:val="38"/>
    <w:qFormat/>
    <w:uiPriority w:val="0"/>
    <w:pPr>
      <w:jc w:val="left"/>
    </w:pPr>
  </w:style>
  <w:style w:type="paragraph" w:styleId="7">
    <w:name w:val="Body Text"/>
    <w:basedOn w:val="1"/>
    <w:qFormat/>
    <w:uiPriority w:val="0"/>
    <w:pPr>
      <w:spacing w:after="120"/>
    </w:pPr>
  </w:style>
  <w:style w:type="paragraph" w:styleId="8">
    <w:name w:val="toc 3"/>
    <w:basedOn w:val="1"/>
    <w:next w:val="1"/>
    <w:qFormat/>
    <w:uiPriority w:val="0"/>
    <w:pPr>
      <w:ind w:left="840" w:leftChars="400"/>
    </w:pPr>
  </w:style>
  <w:style w:type="paragraph" w:styleId="9">
    <w:name w:val="Plain Text"/>
    <w:basedOn w:val="1"/>
    <w:qFormat/>
    <w:uiPriority w:val="0"/>
    <w:pPr>
      <w:widowControl/>
      <w:spacing w:before="100" w:beforeAutospacing="1" w:after="100" w:afterAutospacing="1"/>
      <w:jc w:val="left"/>
    </w:pPr>
    <w:rPr>
      <w:rFonts w:ascii="宋体" w:hAnsi="宋体"/>
      <w:kern w:val="0"/>
      <w:sz w:val="24"/>
    </w:rPr>
  </w:style>
  <w:style w:type="paragraph" w:styleId="10">
    <w:name w:val="Balloon Text"/>
    <w:basedOn w:val="1"/>
    <w:link w:val="37"/>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0"/>
  </w:style>
  <w:style w:type="paragraph" w:styleId="14">
    <w:name w:val="Subtitle"/>
    <w:basedOn w:val="1"/>
    <w:next w:val="1"/>
    <w:link w:val="40"/>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5">
    <w:name w:val="footnote text"/>
    <w:basedOn w:val="1"/>
    <w:semiHidden/>
    <w:unhideWhenUsed/>
    <w:qFormat/>
    <w:uiPriority w:val="99"/>
    <w:pPr>
      <w:snapToGrid w:val="0"/>
    </w:pPr>
    <w:rPr>
      <w:sz w:val="18"/>
      <w:szCs w:val="18"/>
    </w:rPr>
  </w:style>
  <w:style w:type="paragraph" w:styleId="16">
    <w:name w:val="toc 2"/>
    <w:basedOn w:val="1"/>
    <w:next w:val="1"/>
    <w:qFormat/>
    <w:uiPriority w:val="0"/>
    <w:pPr>
      <w:ind w:left="420" w:leftChars="200"/>
    </w:pPr>
  </w:style>
  <w:style w:type="paragraph" w:styleId="17">
    <w:name w:val="Normal (Web)"/>
    <w:basedOn w:val="1"/>
    <w:qFormat/>
    <w:uiPriority w:val="0"/>
    <w:pPr>
      <w:spacing w:beforeAutospacing="1" w:afterAutospacing="1"/>
      <w:jc w:val="left"/>
    </w:pPr>
    <w:rPr>
      <w:rFonts w:cs="Times New Roman"/>
      <w:kern w:val="0"/>
      <w:sz w:val="24"/>
    </w:rPr>
  </w:style>
  <w:style w:type="paragraph" w:styleId="18">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19">
    <w:name w:val="annotation subject"/>
    <w:basedOn w:val="6"/>
    <w:next w:val="6"/>
    <w:link w:val="39"/>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page number"/>
    <w:basedOn w:val="22"/>
    <w:qFormat/>
    <w:uiPriority w:val="0"/>
  </w:style>
  <w:style w:type="character" w:styleId="25">
    <w:name w:val="FollowedHyperlink"/>
    <w:basedOn w:val="22"/>
    <w:qFormat/>
    <w:uiPriority w:val="0"/>
    <w:rPr>
      <w:color w:val="800080"/>
      <w:u w:val="single"/>
    </w:rPr>
  </w:style>
  <w:style w:type="character" w:styleId="26">
    <w:name w:val="Hyperlink"/>
    <w:basedOn w:val="22"/>
    <w:qFormat/>
    <w:uiPriority w:val="0"/>
    <w:rPr>
      <w:color w:val="0000FF"/>
      <w:u w:val="single"/>
    </w:rPr>
  </w:style>
  <w:style w:type="character" w:styleId="27">
    <w:name w:val="HTML Code"/>
    <w:basedOn w:val="22"/>
    <w:uiPriority w:val="0"/>
    <w:rPr>
      <w:rFonts w:ascii="Courier New" w:hAnsi="Courier New"/>
      <w:sz w:val="20"/>
    </w:rPr>
  </w:style>
  <w:style w:type="character" w:styleId="28">
    <w:name w:val="annotation reference"/>
    <w:basedOn w:val="22"/>
    <w:qFormat/>
    <w:uiPriority w:val="0"/>
    <w:rPr>
      <w:sz w:val="21"/>
      <w:szCs w:val="21"/>
    </w:rPr>
  </w:style>
  <w:style w:type="character" w:styleId="29">
    <w:name w:val="footnote reference"/>
    <w:semiHidden/>
    <w:unhideWhenUsed/>
    <w:qFormat/>
    <w:uiPriority w:val="99"/>
    <w:rPr>
      <w:vertAlign w:val="superscript"/>
    </w:rPr>
  </w:style>
  <w:style w:type="paragraph" w:styleId="30">
    <w:name w:val="List Paragraph"/>
    <w:basedOn w:val="1"/>
    <w:qFormat/>
    <w:uiPriority w:val="34"/>
    <w:pPr>
      <w:ind w:firstLine="420" w:firstLineChars="200"/>
    </w:pPr>
  </w:style>
  <w:style w:type="character" w:customStyle="1" w:styleId="31">
    <w:name w:val="标题 2 字符"/>
    <w:basedOn w:val="22"/>
    <w:qFormat/>
    <w:uiPriority w:val="0"/>
    <w:rPr>
      <w:rFonts w:ascii="Arial" w:hAnsi="Arial" w:eastAsia="黑体"/>
      <w:b/>
      <w:sz w:val="32"/>
    </w:rPr>
  </w:style>
  <w:style w:type="paragraph" w:customStyle="1" w:styleId="32">
    <w:name w:val="WPSOffice手动目录 1"/>
    <w:qFormat/>
    <w:uiPriority w:val="0"/>
    <w:rPr>
      <w:rFonts w:ascii="Times New Roman" w:hAnsi="Times New Roman" w:eastAsia="宋体" w:cs="Times New Roman"/>
      <w:lang w:val="en-US" w:eastAsia="zh-CN" w:bidi="ar-SA"/>
    </w:rPr>
  </w:style>
  <w:style w:type="paragraph" w:customStyle="1" w:styleId="3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5">
    <w:name w:val="副标题 字符"/>
    <w:basedOn w:val="22"/>
    <w:qFormat/>
    <w:uiPriority w:val="0"/>
    <w:rPr>
      <w:rFonts w:asciiTheme="majorHAnsi" w:hAnsiTheme="majorHAnsi" w:cstheme="majorBidi"/>
      <w:b/>
      <w:bCs/>
      <w:kern w:val="28"/>
      <w:sz w:val="32"/>
      <w:szCs w:val="32"/>
    </w:rPr>
  </w:style>
  <w:style w:type="character" w:customStyle="1" w:styleId="36">
    <w:name w:val="t1"/>
    <w:qFormat/>
    <w:uiPriority w:val="0"/>
    <w:rPr>
      <w:color w:val="000000"/>
      <w:sz w:val="21"/>
      <w:szCs w:val="21"/>
    </w:rPr>
  </w:style>
  <w:style w:type="character" w:customStyle="1" w:styleId="37">
    <w:name w:val="批注框文本 字符"/>
    <w:basedOn w:val="22"/>
    <w:link w:val="10"/>
    <w:qFormat/>
    <w:uiPriority w:val="0"/>
    <w:rPr>
      <w:rFonts w:asciiTheme="minorHAnsi" w:hAnsiTheme="minorHAnsi" w:eastAsiaTheme="minorEastAsia" w:cstheme="minorBidi"/>
      <w:kern w:val="2"/>
      <w:sz w:val="18"/>
      <w:szCs w:val="18"/>
    </w:rPr>
  </w:style>
  <w:style w:type="character" w:customStyle="1" w:styleId="38">
    <w:name w:val="批注文字 字符"/>
    <w:basedOn w:val="22"/>
    <w:link w:val="6"/>
    <w:qFormat/>
    <w:uiPriority w:val="0"/>
    <w:rPr>
      <w:rFonts w:asciiTheme="minorHAnsi" w:hAnsiTheme="minorHAnsi" w:eastAsiaTheme="minorEastAsia" w:cstheme="minorBidi"/>
      <w:kern w:val="2"/>
      <w:sz w:val="21"/>
      <w:szCs w:val="24"/>
    </w:rPr>
  </w:style>
  <w:style w:type="character" w:customStyle="1" w:styleId="39">
    <w:name w:val="批注主题 字符"/>
    <w:basedOn w:val="38"/>
    <w:link w:val="19"/>
    <w:qFormat/>
    <w:uiPriority w:val="0"/>
    <w:rPr>
      <w:rFonts w:asciiTheme="minorHAnsi" w:hAnsiTheme="minorHAnsi" w:eastAsiaTheme="minorEastAsia" w:cstheme="minorBidi"/>
      <w:b/>
      <w:bCs/>
      <w:kern w:val="2"/>
      <w:sz w:val="21"/>
      <w:szCs w:val="24"/>
    </w:rPr>
  </w:style>
  <w:style w:type="character" w:customStyle="1" w:styleId="40">
    <w:name w:val="副标题 字符1"/>
    <w:basedOn w:val="22"/>
    <w:link w:val="14"/>
    <w:qFormat/>
    <w:uiPriority w:val="0"/>
    <w:rPr>
      <w:rFonts w:asciiTheme="majorHAnsi" w:hAnsiTheme="majorHAnsi" w:cstheme="majorBidi"/>
      <w:b/>
      <w:bCs/>
      <w:kern w:val="28"/>
      <w:sz w:val="32"/>
      <w:szCs w:val="32"/>
    </w:rPr>
  </w:style>
  <w:style w:type="character" w:customStyle="1" w:styleId="41">
    <w:name w:val="标题 2 字符1"/>
    <w:basedOn w:val="22"/>
    <w:link w:val="3"/>
    <w:qFormat/>
    <w:uiPriority w:val="0"/>
    <w:rPr>
      <w:rFonts w:ascii="黑体" w:hAnsi="黑体" w:eastAsia="黑体"/>
      <w:b/>
      <w:bCs/>
      <w:sz w:val="28"/>
      <w:szCs w:val="28"/>
    </w:rPr>
  </w:style>
  <w:style w:type="character" w:customStyle="1" w:styleId="42">
    <w:name w:val="标题 1 字符"/>
    <w:link w:val="2"/>
    <w:qFormat/>
    <w:uiPriority w:val="9"/>
    <w:rPr>
      <w:b/>
      <w:kern w:val="44"/>
      <w:sz w:val="44"/>
    </w:rPr>
  </w:style>
  <w:style w:type="paragraph" w:customStyle="1" w:styleId="43">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8.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7</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2022-06-02T16:22:00Z</dcterms:created>
  <dc:creator>Administrator</dc:creator>
  <cp:lastModifiedBy>Admin</cp:lastModifiedBy>
  <cp:lastPrinted>2022-07-13T11:44:00Z</cp:lastPrinted>
  <dcterms:modified xsi:type="dcterms:W3CDTF">2023-02-15T09:22:33Z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