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drawing>
          <wp:inline distT="0" distB="0" distL="0" distR="0">
            <wp:extent cx="4095750" cy="1181100"/>
            <wp:effectExtent t="0" r="0" b="0" l="0"/>
            <wp:docPr id="1" name="logo" descr="logo" title="Fitness Elev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A1814"/>
          <w:sz w:val="50"/>
          <w:szCs w:val="50"/>
        </w:rPr>
        <w:t xml:space="preserve">Marketing Strategy</w:t>
      </w:r>
    </w:p>
    <w:p>
      <w:pPr>
        <w:pBdr>
          <w:bottom w:val="single" w:color="D4AF37" w:sz="8" w:space="8"/>
        </w:pBdr>
        <w:spacing w:after="40"/>
        <w:jc w:val="center"/>
      </w:pPr>
      <w:r>
        <w:t xml:space="preserve"/>
      </w:r>
    </w:p>
    <w:p>
      <w:pPr>
        <w:spacing w:after="600" w:before="120"/>
        <w:jc w:val="center"/>
      </w:pPr>
      <w:r>
        <w:rPr>
          <w:i/>
          <w:iCs/>
          <w:color w:val="7A736A"/>
          <w:sz w:val="24"/>
          <w:szCs w:val="24"/>
        </w:rPr>
        <w:t xml:space="preserve">Go-to-market &amp; client-acquisition plan</w:t>
      </w:r>
    </w:p>
    <w:p>
      <w:pPr>
        <w:jc w:val="center"/>
      </w:pPr>
      <w:r>
        <w:rPr>
          <w:color w:val="333A38"/>
          <w:sz w:val="20"/>
          <w:szCs w:val="20"/>
        </w:rPr>
        <w:t xml:space="preserve">Dymond Unutoa, CSCS  ·  Online Performance Coaching</w:t>
      </w:r>
    </w:p>
    <w:p>
      <w:pPr>
        <w:spacing w:after="40"/>
        <w:jc w:val="center"/>
      </w:pPr>
      <w:r>
        <w:rPr>
          <w:color w:val="7A736A"/>
          <w:sz w:val="18"/>
          <w:szCs w:val="18"/>
        </w:rPr>
        <w:t xml:space="preserve">unutoa31@gmail.com</w:t>
      </w:r>
    </w:p>
    <w:p>
      <w:pPr>
        <w:jc w:val="center"/>
      </w:pPr>
      <w:r>
        <w:rPr>
          <w:color w:val="7A736A"/>
          <w:sz w:val="16"/>
          <w:szCs w:val="16"/>
        </w:rPr>
        <w:t xml:space="preserve">Confidential brand strategy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Goals &amp; Objectives</w:t>
      </w:r>
    </w:p>
    <w:p>
      <w:pPr>
        <w:spacing w:after="120" w:line="276"/>
      </w:pPr>
      <w:r>
        <w:t xml:space="preserve">This plan turns the Fitness-Elevated brand into a predictable client-acquisition engine for an online coaching business led by one coach. Objectives are framed for the first 12 months.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37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12-month target</w:t>
            </w:r>
          </w:p>
        </w:tc>
        <w:tc>
          <w:tcPr>
            <w:tcW w:type="dxa" w:w="3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metric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Build awareness</w:t>
            </w:r>
          </w:p>
        </w:tc>
        <w:tc>
          <w:tcPr>
            <w:tcW w:type="dxa" w:w="37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10k+ engaged social audience</w:t>
            </w:r>
          </w:p>
        </w:tc>
        <w:tc>
          <w:tcPr>
            <w:tcW w:type="dxa" w:w="3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Followers / reach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Generate leads</w:t>
            </w:r>
          </w:p>
        </w:tc>
        <w:tc>
          <w:tcPr>
            <w:tcW w:type="dxa" w:w="37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30+ free assessments / month</w:t>
            </w:r>
          </w:p>
        </w:tc>
        <w:tc>
          <w:tcPr>
            <w:tcW w:type="dxa" w:w="3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Bookings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Convert clients</w:t>
            </w:r>
          </w:p>
        </w:tc>
        <w:tc>
          <w:tcPr>
            <w:tcW w:type="dxa" w:w="37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Reach 40–50 active clients</w:t>
            </w:r>
          </w:p>
        </w:tc>
        <w:tc>
          <w:tcPr>
            <w:tcW w:type="dxa" w:w="3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Paid sign-ups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Grow revenue</w:t>
            </w:r>
          </w:p>
        </w:tc>
        <w:tc>
          <w:tcPr>
            <w:tcW w:type="dxa" w:w="37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$8–10k recurring monthly revenue</w:t>
            </w:r>
          </w:p>
        </w:tc>
        <w:tc>
          <w:tcPr>
            <w:tcW w:type="dxa" w:w="3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MRR</w:t>
            </w:r>
          </w:p>
        </w:tc>
      </w:tr>
      <w:tr>
        <w:tc>
          <w:tcPr>
            <w:tcW w:type="dxa" w:w="26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Retain</w:t>
            </w:r>
          </w:p>
        </w:tc>
        <w:tc>
          <w:tcPr>
            <w:tcW w:type="dxa" w:w="37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90%+ retention</w:t>
            </w:r>
          </w:p>
        </w:tc>
        <w:tc>
          <w:tcPr>
            <w:tcW w:type="dxa" w:w="3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Churn %</w:t>
            </w:r>
          </w:p>
        </w:tc>
      </w:tr>
    </w:tbl>
    <w:p>
      <w:pPr>
        <w:spacing w:after="120" w:line="276"/>
      </w:pPr>
      <w:r>
        <w:t xml:space="preserve">Note: targets are planning assumptions to anchor the funnel math below; adjust to real capacity and pricing as data comes in.</w:t>
      </w:r>
    </w:p>
    <w:p>
      <w:pPr>
        <w:pStyle w:val="Heading1"/>
      </w:pPr>
      <w:r>
        <w:t xml:space="preserve">2. Market &amp; Competitive Context</w:t>
      </w:r>
    </w:p>
    <w:p>
      <w:pPr>
        <w:spacing w:after="120" w:line="276"/>
      </w:pPr>
      <w:r>
        <w:t xml:space="preserve">Online coaching competes on trust and specificity. Generic apps win on price; influencers win on reach; Fitness-Elevated wins on credentialed, personalized, injury-aware coaching for athletes and active people. The strategy is to out-specialize the generalists and out-credential the influencers.</w:t>
      </w:r>
    </w:p>
    <w:p>
      <w:pPr>
        <w:pStyle w:val="Heading2"/>
      </w:pPr>
      <w:r>
        <w:t xml:space="preserve">Competitive positioning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Vs. template apps (cheap, impersonal): emphasize personalization and live check-ins.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Vs. local trainers (limited reach): emphasize anywhere-access and video coaching.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Vs. influencer programs (hype, low rigor): emphasize CSCS/PTA/LMT/TPI credentials and injury prevention.</w:t>
      </w:r>
    </w:p>
    <w:p>
      <w:pPr>
        <w:pStyle w:val="Heading1"/>
      </w:pPr>
      <w:r>
        <w:t xml:space="preserve">3. The Funnel</w:t>
      </w:r>
    </w:p>
    <w:p>
      <w:pPr>
        <w:spacing w:after="120" w:line="276"/>
      </w:pPr>
      <w:r>
        <w:t xml:space="preserve">Every channel feeds one path. Free value builds trust; the free assessment is the conversion hinge.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9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Tactics</w:t>
            </w:r>
          </w:p>
        </w:tc>
        <w:tc>
          <w:tcPr>
            <w:tcW w:type="dxa" w:w="2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metric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Attract</w:t>
            </w:r>
          </w:p>
        </w:tc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Be discovered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Reels/Shorts, SEO blog, referrals</w:t>
            </w:r>
          </w:p>
        </w:tc>
        <w:tc>
          <w:tcPr>
            <w:tcW w:type="dxa" w:w="2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Reach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Engage</w:t>
            </w:r>
          </w:p>
        </w:tc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Build trust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Email tips, free guides, education posts</w:t>
            </w:r>
          </w:p>
        </w:tc>
        <w:tc>
          <w:tcPr>
            <w:tcW w:type="dxa" w:w="2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Email list / saves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Convert</w:t>
            </w:r>
          </w:p>
        </w:tc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Book + enroll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Free assessment → plan recommendation → checkout</w:t>
            </w:r>
          </w:p>
        </w:tc>
        <w:tc>
          <w:tcPr>
            <w:tcW w:type="dxa" w:w="2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Booking &amp; close rate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Deliver</w:t>
            </w:r>
          </w:p>
        </w:tc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Wow early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Fast onboarding, week-1 win, check-in</w:t>
            </w:r>
          </w:p>
        </w:tc>
        <w:tc>
          <w:tcPr>
            <w:tcW w:type="dxa" w:w="2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Adherence</w:t>
            </w:r>
          </w:p>
        </w:tc>
      </w:tr>
      <w:tr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Retain/Refer</w:t>
            </w:r>
          </w:p>
        </w:tc>
        <w:tc>
          <w:tcPr>
            <w:tcW w:type="dxa" w:w="19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Keep &amp; multiply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Results sharing, referral offer, reviews</w:t>
            </w:r>
          </w:p>
        </w:tc>
        <w:tc>
          <w:tcPr>
            <w:tcW w:type="dxa" w:w="20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Retention / referrals</w:t>
            </w:r>
          </w:p>
        </w:tc>
      </w:tr>
    </w:tbl>
    <w:p>
      <w:pPr>
        <w:pStyle w:val="Heading2"/>
      </w:pPr>
      <w:r>
        <w:t xml:space="preserve">Funnel math (illustrative)</w:t>
      </w:r>
    </w:p>
    <w:p>
      <w:pPr>
        <w:spacing w:after="120" w:line="276"/>
      </w:pPr>
      <w:r>
        <w:t xml:space="preserve">To reach ~10 new clients/month at a 33% assessment-to-client close rate, you need ~30 assessments/month. At a 5% booking rate from engaged reach, that’s ~600 engaged visitors/month — a realistic target with consistent short-form video plus referrals.</w:t>
      </w:r>
    </w:p>
    <w:p>
      <w:pPr>
        <w:pStyle w:val="Heading1"/>
      </w:pPr>
      <w:r>
        <w:t xml:space="preserve">4. Channel Strategy</w:t>
      </w:r>
    </w:p>
    <w:p>
      <w:pPr>
        <w:pStyle w:val="Heading2"/>
      </w:pPr>
      <w:r>
        <w:t xml:space="preserve">Organic social (primary engine)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Instagram &amp; TikTok: short-form coaching clips, movement tips, golf/sport drills, client wins.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YouTube: longer how-to and “why it matters” content for SEO and authority.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Cadence: see the Social Media Strategy document for the full calendar.</w:t>
      </w:r>
    </w:p>
    <w:p>
      <w:pPr>
        <w:pStyle w:val="Heading2"/>
      </w:pPr>
      <w:r>
        <w:t xml:space="preserve">Search &amp; content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 simple blog/library targeting intent keywords: “golf mobility exercises,” “return to play after knee injury,” “youth athlete strength training safe.”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Local + niche SEO: “online strength coach golf,” “TPI online coaching.”</w:t>
      </w:r>
    </w:p>
    <w:p>
      <w:pPr>
        <w:pStyle w:val="Heading2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Lead magnet (e.g., “5-Minute Daily Movement Prep” PDF) to capture emails.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Weekly value email + monthly offer; automated welcome and post-assessment nurture sequences.</w:t>
      </w:r>
    </w:p>
    <w:p>
      <w:pPr>
        <w:pStyle w:val="Heading2"/>
      </w:pPr>
      <w:r>
        <w:t xml:space="preserve">Referral &amp; partnerships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Client referral offer (e.g., one month credit per referred sign-up).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Partnerships: golf clubs (Glenmoor connection), youth sports clubs, physical therapy clinics for return-to-play handoffs.</w:t>
      </w:r>
    </w:p>
    <w:p>
      <w:pPr>
        <w:pStyle w:val="Heading2"/>
      </w:pPr>
      <w:r>
        <w:t xml:space="preserve">Paid (scale later)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Once organic converts, retarget site/video viewers with assessment ads; geo/interest-target golfers and sport parents.</w:t>
      </w:r>
    </w:p>
    <w:p>
      <w:pPr>
        <w:pStyle w:val="Heading1"/>
      </w:pPr>
      <w:r>
        <w:t xml:space="preserve">5. Offer &amp;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2400"/>
        <w:gridCol w:w="2360"/>
      </w:tblGrid>
      <w:tr>
        <w:trPr>
          <w:tblHeader/>
        </w:trP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3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Youth Athlete Development</w:t>
            </w:r>
          </w:p>
        </w:tc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$129/mo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Sport parents</w:t>
            </w:r>
          </w:p>
        </w:tc>
        <w:tc>
          <w:tcPr>
            <w:tcW w:type="dxa" w:w="23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Safe, structured growth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Sport Performance</w:t>
            </w:r>
          </w:p>
        </w:tc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$199/mo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Competitive athletes</w:t>
            </w:r>
          </w:p>
        </w:tc>
        <w:tc>
          <w:tcPr>
            <w:tcW w:type="dxa" w:w="23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Speed &amp; power that show up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Injury-Prevention &amp; Return</w:t>
            </w:r>
          </w:p>
        </w:tc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$169/mo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Comeback clients</w:t>
            </w:r>
          </w:p>
        </w:tc>
        <w:tc>
          <w:tcPr>
            <w:tcW w:type="dxa" w:w="23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Rebuild stronger, safely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Golf (TPI)</w:t>
            </w:r>
          </w:p>
        </w:tc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$199/mo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Golfers</w:t>
            </w:r>
          </w:p>
        </w:tc>
        <w:tc>
          <w:tcPr>
            <w:tcW w:type="dxa" w:w="23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More distance, durable back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Performance+ add-on</w:t>
            </w:r>
          </w:p>
        </w:tc>
        <w:tc>
          <w:tcPr>
            <w:tcW w:type="dxa" w:w="15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+$120/mo</w:t>
            </w:r>
          </w:p>
        </w:tc>
        <w:tc>
          <w:tcPr>
            <w:tcW w:type="dxa" w:w="24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Any client</w:t>
            </w:r>
          </w:p>
        </w:tc>
        <w:tc>
          <w:tcPr>
            <w:tcW w:type="dxa" w:w="23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Weekly live 1:1 coaching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4"/>
      </w:pPr>
      <w:r>
        <w:t xml:space="preserve">Free assessment as the no-risk entry point for every package.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Annual prepay discount (e.g., 2 months free) to improve cash flow and retention.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Founding-client offer at launch to seed testimonials.</w:t>
      </w:r>
    </w:p>
    <w:p>
      <w:pPr>
        <w:pStyle w:val="Heading1"/>
      </w:pPr>
      <w:r>
        <w:t xml:space="preserve">6. Launch Plan (First 90 Days)</w:t>
      </w:r>
    </w:p>
    <w:p>
      <w:pPr>
        <w:pStyle w:val="Heading3"/>
      </w:pPr>
      <w:r>
        <w:t xml:space="preserve">Phase 1 — Foundation (Weeks 1–3)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Finalize logo + brand kit; publish the landing page with booking and checkout.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Set up email capture, lead magnet, and the client app/portal.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Film a starter bank of 15–20 short videos.</w:t>
      </w:r>
    </w:p>
    <w:p>
      <w:pPr>
        <w:pStyle w:val="Heading3"/>
      </w:pPr>
      <w:r>
        <w:t xml:space="preserve">Phase 2 — Seed (Weeks 4–7)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Launch founding-client offer to existing network and past clients.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Post daily short-form; start weekly email; collect first testimonials.</w:t>
      </w:r>
    </w:p>
    <w:p>
      <w:pPr>
        <w:pStyle w:val="Heading3"/>
      </w:pPr>
      <w:r>
        <w:t xml:space="preserve">Phase 3 — Build (Weeks 8–12)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Publish 2 SEO articles/month; launch referral program; pursue 1–2 club partnerships.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Begin light retargeting ads once close rate is proven.</w:t>
      </w:r>
    </w:p>
    <w:p>
      <w:pPr>
        <w:pStyle w:val="Heading1"/>
      </w:pPr>
      <w:r>
        <w:t xml:space="preserve">7. Budget Guidance (lean, solo)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3960"/>
      </w:tblGrid>
      <w:tr>
        <w:trPr>
          <w:tblHeader/>
        </w:trP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1A18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Email + scheduling tools</w:t>
            </w:r>
          </w:p>
        </w:tc>
        <w:tc>
          <w:tcPr>
            <w:tcW w:type="dxa" w:w="23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$30–80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ESP, calendar, payments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Site / hosting</w:t>
            </w:r>
          </w:p>
        </w:tc>
        <w:tc>
          <w:tcPr>
            <w:tcW w:type="dxa" w:w="23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$0–20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Already on Netlify/Supabase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Content tools</w:t>
            </w:r>
          </w:p>
        </w:tc>
        <w:tc>
          <w:tcPr>
            <w:tcW w:type="dxa" w:w="23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$20–50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Editing, captions, design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Paid ads (phase 3)</w:t>
            </w:r>
          </w:p>
        </w:tc>
        <w:tc>
          <w:tcPr>
            <w:tcW w:type="dxa" w:w="23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$200–500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Start small, scale on ROI</w:t>
            </w:r>
          </w:p>
        </w:tc>
      </w:tr>
      <w:tr>
        <w:tc>
          <w:tcPr>
            <w:tcW w:type="dxa" w:w="31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Total (pre-ads)</w:t>
            </w:r>
          </w:p>
        </w:tc>
        <w:tc>
          <w:tcPr>
            <w:tcW w:type="dxa" w:w="230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~$50–150</w:t>
            </w:r>
          </w:p>
        </w:tc>
        <w:tc>
          <w:tcPr>
            <w:tcW w:type="dxa" w:w="3960"/>
            <w:tcBorders>
              <w:top w:val="single" w:color="D5DDD9" w:sz="1"/>
              <w:left w:val="single" w:color="D5DDD9" w:sz="1"/>
              <w:bottom w:val="single" w:color="D5DDD9" w:sz="1"/>
              <w:right w:val="single" w:color="D5DD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02B"/>
                <w:sz w:val="19"/>
                <w:szCs w:val="19"/>
              </w:rPr>
              <w:t xml:space="preserve">Time is the main investment</w:t>
            </w:r>
          </w:p>
        </w:tc>
      </w:tr>
    </w:tbl>
    <w:p>
      <w:pPr>
        <w:pStyle w:val="Heading1"/>
      </w:pPr>
      <w:r>
        <w:t xml:space="preserve">8. Measurement &amp; Cadence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Weekly: posts shipped, reach, assessments booked, new clients, churn.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Monthly: MRR, CAC (ad spend ÷ new clients), retention, top content.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Quarterly: revisit pricing, packages, and channel mix; double down on what converts.</w:t>
      </w:r>
    </w:p>
    <w:p>
      <w:pPr>
        <w:pBdr>
          <w:left w:val="single" w:color="D4AF37" w:sz="18" w:space="12"/>
        </w:pBdr>
        <w:spacing w:after="160" w:before="80"/>
        <w:ind w:left="360"/>
      </w:pPr>
      <w:r>
        <w:rPr>
          <w:i/>
          <w:iCs/>
          <w:color w:val="333A38"/>
          <w:sz w:val="23"/>
          <w:szCs w:val="23"/>
        </w:rPr>
        <w:t xml:space="preserve">One number to watch: free assessments booked per week. It predicts everything downstream.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36A"/>
        <w:sz w:val="16"/>
        <w:szCs w:val="16"/>
      </w:rPr>
      <w:t xml:space="preserve">Page </w:t>
    </w:r>
    <w:r>
      <w:rPr>
        <w:color w:val="7A73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36A"/>
        <w:sz w:val="16"/>
        <w:szCs w:val="16"/>
      </w:rPr>
      <w:t xml:space="preserve">  ·  A lifetime in motion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736A"/>
        <w:sz w:val="14"/>
        <w:szCs w:val="14"/>
      </w:rPr>
      <w:t xml:space="preserve">FITNESS-ELEVATED  ·  MARKETING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D4AF3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Arial" w:cs="Arial" w:eastAsia="Arial" w:hAnsi="Arial"/>
      <w:b/>
      <w:bCs/>
      <w:color w:val="1A181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4AF37" w:sz="8" w:space="4"/>
      </w:pBdr>
      <w:spacing w:after="140" w:before="320"/>
      <w:outlineLvl w:val="0"/>
    </w:pPr>
    <w:rPr>
      <w:rFonts w:ascii="Arial" w:cs="Arial" w:eastAsia="Arial" w:hAnsi="Arial"/>
      <w:b/>
      <w:bCs/>
      <w:color w:val="9A6E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A181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B890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e5ea51d49ca96d8232926afd9c8123a36429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2026-06-17T12:45:01.572Z</dcterms:created>
  <dcterms:modified xsi:type="dcterms:W3CDTF">2026-06-17T12:45:01.572Z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