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51F8" w:rsidRDefault="00A720D4" w:rsidP="00E77A20">
      <w:pPr>
        <w:pStyle w:val="IEEETitle"/>
      </w:pPr>
      <w:r w:rsidRPr="00A720D4">
        <w:t>sEMG Signal Separation for Wrist Angle Estimation</w:t>
      </w:r>
      <w:r w:rsidR="007851F8">
        <w:t xml:space="preserve"> </w:t>
      </w:r>
    </w:p>
    <w:p w:rsidR="007851F8" w:rsidRPr="00F325E3" w:rsidRDefault="007851F8" w:rsidP="00F325E3">
      <w:pPr>
        <w:pStyle w:val="IEEEAuthorName"/>
        <w:spacing w:after="0"/>
        <w:rPr>
          <w:sz w:val="20"/>
          <w:szCs w:val="20"/>
          <w:vertAlign w:val="superscript"/>
        </w:rPr>
      </w:pPr>
      <w:r w:rsidRPr="00F325E3">
        <w:rPr>
          <w:sz w:val="20"/>
          <w:szCs w:val="20"/>
        </w:rPr>
        <w:t>First A. Author</w:t>
      </w:r>
      <w:r w:rsidRPr="00F325E3">
        <w:rPr>
          <w:sz w:val="20"/>
          <w:szCs w:val="20"/>
          <w:vertAlign w:val="superscript"/>
        </w:rPr>
        <w:t>1,</w:t>
      </w:r>
      <w:proofErr w:type="gramStart"/>
      <w:r w:rsidRPr="00F325E3">
        <w:rPr>
          <w:sz w:val="20"/>
          <w:szCs w:val="20"/>
          <w:vertAlign w:val="superscript"/>
        </w:rPr>
        <w:t>2,*</w:t>
      </w:r>
      <w:proofErr w:type="gramEnd"/>
      <w:r w:rsidRPr="00F325E3">
        <w:rPr>
          <w:sz w:val="20"/>
          <w:szCs w:val="20"/>
        </w:rPr>
        <w:t>, Second B. Author</w:t>
      </w:r>
      <w:r w:rsidRPr="00F325E3">
        <w:rPr>
          <w:sz w:val="20"/>
          <w:szCs w:val="20"/>
          <w:vertAlign w:val="superscript"/>
        </w:rPr>
        <w:t>2</w:t>
      </w:r>
      <w:r w:rsidRPr="00F325E3">
        <w:rPr>
          <w:sz w:val="20"/>
          <w:szCs w:val="20"/>
        </w:rPr>
        <w:t>, and Third C. Author</w:t>
      </w:r>
      <w:r w:rsidRPr="00F325E3">
        <w:rPr>
          <w:sz w:val="20"/>
          <w:szCs w:val="20"/>
          <w:vertAlign w:val="superscript"/>
        </w:rPr>
        <w:t>3</w:t>
      </w:r>
    </w:p>
    <w:p w:rsidR="007851F8" w:rsidRPr="00F325E3" w:rsidRDefault="007851F8" w:rsidP="0025058B">
      <w:pPr>
        <w:pStyle w:val="IEEEAuthorAffiliation"/>
        <w:spacing w:after="0"/>
        <w:rPr>
          <w:szCs w:val="20"/>
        </w:rPr>
      </w:pPr>
      <w:r w:rsidRPr="00F325E3">
        <w:rPr>
          <w:szCs w:val="20"/>
          <w:vertAlign w:val="superscript"/>
        </w:rPr>
        <w:t>1</w:t>
      </w:r>
      <w:r w:rsidRPr="00F325E3">
        <w:rPr>
          <w:szCs w:val="20"/>
        </w:rPr>
        <w:t xml:space="preserve">SRON </w:t>
      </w:r>
      <w:smartTag w:uri="urn:schemas-microsoft-com:office:smarttags" w:element="country-region">
        <w:r w:rsidRPr="00F325E3">
          <w:rPr>
            <w:szCs w:val="20"/>
          </w:rPr>
          <w:t>Netherlands</w:t>
        </w:r>
      </w:smartTag>
      <w:r w:rsidRPr="00F325E3">
        <w:rPr>
          <w:szCs w:val="20"/>
        </w:rPr>
        <w:t xml:space="preserve"> Institute for Space Research, </w:t>
      </w:r>
      <w:smartTag w:uri="urn:schemas-microsoft-com:office:smarttags" w:element="City">
        <w:r w:rsidRPr="00F325E3">
          <w:rPr>
            <w:szCs w:val="20"/>
          </w:rPr>
          <w:t>Groningen</w:t>
        </w:r>
      </w:smartTag>
      <w:r w:rsidRPr="00F325E3">
        <w:rPr>
          <w:szCs w:val="20"/>
        </w:rPr>
        <w:t xml:space="preserve">, the </w:t>
      </w:r>
      <w:smartTag w:uri="urn:schemas-microsoft-com:office:smarttags" w:element="place">
        <w:smartTag w:uri="urn:schemas-microsoft-com:office:smarttags" w:element="country-region">
          <w:r w:rsidRPr="00F325E3">
            <w:rPr>
              <w:szCs w:val="20"/>
            </w:rPr>
            <w:t>Netherlands</w:t>
          </w:r>
        </w:smartTag>
      </w:smartTag>
    </w:p>
    <w:p w:rsidR="007851F8" w:rsidRPr="00F325E3" w:rsidRDefault="007851F8" w:rsidP="0025058B">
      <w:pPr>
        <w:pStyle w:val="IEEEAuthorAffiliation"/>
        <w:spacing w:after="0"/>
        <w:rPr>
          <w:szCs w:val="20"/>
        </w:rPr>
      </w:pPr>
      <w:r w:rsidRPr="00F325E3">
        <w:rPr>
          <w:szCs w:val="20"/>
          <w:vertAlign w:val="superscript"/>
        </w:rPr>
        <w:t>2</w:t>
      </w:r>
      <w:r w:rsidRPr="00F325E3">
        <w:rPr>
          <w:szCs w:val="20"/>
        </w:rPr>
        <w:t xml:space="preserve">University of </w:t>
      </w:r>
      <w:smartTag w:uri="urn:schemas-microsoft-com:office:smarttags" w:element="City">
        <w:r w:rsidRPr="00F325E3">
          <w:rPr>
            <w:szCs w:val="20"/>
          </w:rPr>
          <w:t>Groningen</w:t>
        </w:r>
      </w:smartTag>
      <w:r w:rsidRPr="00F325E3">
        <w:rPr>
          <w:szCs w:val="20"/>
        </w:rPr>
        <w:t xml:space="preserve">, </w:t>
      </w:r>
      <w:proofErr w:type="spellStart"/>
      <w:r w:rsidRPr="00F325E3">
        <w:rPr>
          <w:szCs w:val="20"/>
        </w:rPr>
        <w:t>Kapteyn</w:t>
      </w:r>
      <w:proofErr w:type="spellEnd"/>
      <w:r w:rsidRPr="00F325E3">
        <w:rPr>
          <w:szCs w:val="20"/>
        </w:rPr>
        <w:t xml:space="preserve"> Astronomical Institute, </w:t>
      </w:r>
      <w:smartTag w:uri="urn:schemas-microsoft-com:office:smarttags" w:element="City">
        <w:r w:rsidRPr="00F325E3">
          <w:rPr>
            <w:szCs w:val="20"/>
          </w:rPr>
          <w:t>Groningen</w:t>
        </w:r>
      </w:smartTag>
      <w:r w:rsidRPr="00F325E3">
        <w:rPr>
          <w:szCs w:val="20"/>
        </w:rPr>
        <w:t xml:space="preserve">, the </w:t>
      </w:r>
      <w:smartTag w:uri="urn:schemas-microsoft-com:office:smarttags" w:element="country-region">
        <w:smartTag w:uri="urn:schemas-microsoft-com:office:smarttags" w:element="place">
          <w:r w:rsidRPr="00F325E3">
            <w:rPr>
              <w:szCs w:val="20"/>
            </w:rPr>
            <w:t>Netherlands</w:t>
          </w:r>
        </w:smartTag>
      </w:smartTag>
    </w:p>
    <w:p w:rsidR="007851F8" w:rsidRPr="00F325E3" w:rsidRDefault="007851F8" w:rsidP="0025058B">
      <w:pPr>
        <w:pStyle w:val="IEEEAuthorAffiliation"/>
        <w:spacing w:after="0"/>
        <w:rPr>
          <w:szCs w:val="20"/>
        </w:rPr>
      </w:pPr>
      <w:r w:rsidRPr="00F325E3">
        <w:rPr>
          <w:szCs w:val="20"/>
          <w:vertAlign w:val="superscript"/>
        </w:rPr>
        <w:t>3</w:t>
      </w:r>
      <w:r w:rsidRPr="00F325E3">
        <w:rPr>
          <w:szCs w:val="20"/>
        </w:rPr>
        <w:t xml:space="preserve">California </w:t>
      </w:r>
      <w:smartTag w:uri="urn:schemas-microsoft-com:office:smarttags" w:element="PlaceType">
        <w:r w:rsidRPr="00F325E3">
          <w:rPr>
            <w:szCs w:val="20"/>
          </w:rPr>
          <w:t>Institute</w:t>
        </w:r>
      </w:smartTag>
      <w:r w:rsidRPr="00F325E3">
        <w:rPr>
          <w:szCs w:val="20"/>
        </w:rPr>
        <w:t xml:space="preserve"> of </w:t>
      </w:r>
      <w:smartTag w:uri="urn:schemas-microsoft-com:office:smarttags" w:element="PlaceName">
        <w:r w:rsidRPr="00F325E3">
          <w:rPr>
            <w:szCs w:val="20"/>
          </w:rPr>
          <w:t>Technology</w:t>
        </w:r>
      </w:smartTag>
      <w:r w:rsidRPr="00F325E3">
        <w:rPr>
          <w:szCs w:val="20"/>
        </w:rPr>
        <w:t xml:space="preserve">, </w:t>
      </w:r>
      <w:smartTag w:uri="urn:schemas-microsoft-com:office:smarttags" w:element="place">
        <w:smartTag w:uri="urn:schemas-microsoft-com:office:smarttags" w:element="City">
          <w:r w:rsidRPr="00F325E3">
            <w:rPr>
              <w:szCs w:val="20"/>
            </w:rPr>
            <w:t>Pasadena</w:t>
          </w:r>
        </w:smartTag>
        <w:r w:rsidRPr="00F325E3">
          <w:rPr>
            <w:szCs w:val="20"/>
          </w:rPr>
          <w:t xml:space="preserve">, </w:t>
        </w:r>
        <w:smartTag w:uri="urn:schemas-microsoft-com:office:smarttags" w:element="State">
          <w:r w:rsidRPr="00F325E3">
            <w:rPr>
              <w:szCs w:val="20"/>
            </w:rPr>
            <w:t>CA</w:t>
          </w:r>
        </w:smartTag>
        <w:r w:rsidRPr="00F325E3">
          <w:rPr>
            <w:szCs w:val="20"/>
          </w:rPr>
          <w:t xml:space="preserve"> </w:t>
        </w:r>
        <w:smartTag w:uri="urn:schemas-microsoft-com:office:smarttags" w:element="PostalCode">
          <w:r w:rsidRPr="00F325E3">
            <w:rPr>
              <w:szCs w:val="20"/>
            </w:rPr>
            <w:t>91125</w:t>
          </w:r>
        </w:smartTag>
        <w:r w:rsidRPr="00F325E3">
          <w:rPr>
            <w:szCs w:val="20"/>
          </w:rPr>
          <w:t xml:space="preserve">, </w:t>
        </w:r>
        <w:smartTag w:uri="urn:schemas-microsoft-com:office:smarttags" w:element="country-region">
          <w:r w:rsidRPr="00F325E3">
            <w:rPr>
              <w:szCs w:val="20"/>
            </w:rPr>
            <w:t>USA</w:t>
          </w:r>
        </w:smartTag>
      </w:smartTag>
    </w:p>
    <w:p w:rsidR="007851F8" w:rsidRDefault="00821944" w:rsidP="0025058B">
      <w:pPr>
        <w:pStyle w:val="IEEEAuthorName"/>
        <w:spacing w:before="0" w:after="0"/>
      </w:pPr>
      <w:r w:rsidRPr="00F325E3">
        <w:rPr>
          <w:sz w:val="20"/>
          <w:szCs w:val="20"/>
        </w:rPr>
        <w:t>*</w:t>
      </w:r>
      <w:r w:rsidR="007851F8" w:rsidRPr="00F325E3">
        <w:rPr>
          <w:sz w:val="20"/>
          <w:szCs w:val="20"/>
        </w:rPr>
        <w:t>Contact: First.Author@sron.nl, phone +31-50-363 4074</w:t>
      </w:r>
      <w:r w:rsidR="007851F8">
        <w:br/>
      </w:r>
    </w:p>
    <w:p w:rsidR="0025058B" w:rsidRPr="0025058B" w:rsidRDefault="0025058B" w:rsidP="0025058B">
      <w:pPr>
        <w:rPr>
          <w:lang w:val="en-GB"/>
        </w:rPr>
      </w:pPr>
    </w:p>
    <w:p w:rsidR="007851F8" w:rsidRDefault="007851F8"/>
    <w:p w:rsidR="007851F8" w:rsidRDefault="007851F8">
      <w:pPr>
        <w:sectPr w:rsidR="007851F8" w:rsidSect="000A2F75">
          <w:headerReference w:type="first" r:id="rId8"/>
          <w:footnotePr>
            <w:pos w:val="beneathText"/>
          </w:footnotePr>
          <w:type w:val="continuous"/>
          <w:pgSz w:w="12240" w:h="15840" w:code="1"/>
          <w:pgMar w:top="1276" w:right="868" w:bottom="1871" w:left="868" w:header="709" w:footer="720" w:gutter="0"/>
          <w:cols w:space="720"/>
          <w:docGrid w:linePitch="360"/>
        </w:sectPr>
      </w:pPr>
    </w:p>
    <w:p w:rsidR="007851F8" w:rsidRDefault="007851F8">
      <w:pPr>
        <w:pStyle w:val="IEEEAbtract"/>
      </w:pPr>
      <w:r>
        <w:rPr>
          <w:rStyle w:val="IEEEAbstractHeadingChar"/>
        </w:rPr>
        <w:lastRenderedPageBreak/>
        <w:t>Abstract</w:t>
      </w:r>
      <w:r>
        <w:t xml:space="preserve">— This document </w:t>
      </w:r>
    </w:p>
    <w:p w:rsidR="007851F8" w:rsidRDefault="007851F8">
      <w:pPr>
        <w:pStyle w:val="IEEEHeading1"/>
        <w:ind w:left="288" w:hanging="288"/>
      </w:pPr>
      <w:r>
        <w:t>Introduction</w:t>
      </w:r>
    </w:p>
    <w:p w:rsidR="00945D9D" w:rsidRDefault="00945D9D">
      <w:pPr>
        <w:pStyle w:val="IEEEParagraph"/>
      </w:pPr>
    </w:p>
    <w:p w:rsidR="00367969" w:rsidRDefault="005D0700" w:rsidP="00367969">
      <w:pPr>
        <w:pStyle w:val="IEEEParagraph"/>
        <w:rPr>
          <w:rFonts w:eastAsiaTheme="minorEastAsia"/>
          <w:lang w:eastAsia="zh-TW"/>
        </w:rPr>
      </w:pPr>
      <w:r>
        <w:rPr>
          <w:rFonts w:asciiTheme="minorEastAsia" w:eastAsiaTheme="minorEastAsia" w:hAnsiTheme="minorEastAsia" w:hint="eastAsia"/>
          <w:lang w:eastAsia="zh-TW"/>
        </w:rPr>
        <w:t>M</w:t>
      </w:r>
      <w:r w:rsidR="008A6D5B">
        <w:t xml:space="preserve">yoelectric signal activity had been known to increase with the </w:t>
      </w:r>
      <w:r w:rsidR="002441A9">
        <w:t>muscle movement intensity</w:t>
      </w:r>
      <w:r w:rsidR="00E52561">
        <w:fldChar w:fldCharType="begin"/>
      </w:r>
      <w:r w:rsidR="007104EF">
        <w:instrText xml:space="preserve"> ADDIN ZOTERO_ITEM CSL_CITATION {"citationID":"0xAr8Stt","properties":{"formattedCitation":"[1]","plainCitation":"[1]","noteIndex":0},"citationItems":[{"id":"HpTQ1ta1/ti1tYwZb","uris":["http://zotero.org/users/local/Jg4Thzek/items/TM7MKCZR"],"uri":["http://zotero.org/users/local/Jg4Thzek/items/TM7MKCZR"],"itemData":{"id":1239,"type":"article-journal","title":"Observations on the Function of the Shoulder Joint","container-title":"JBJS","page":"1","volume":"26","issue":"1","source":"journals.lww.com","abstract":"An abstract is unavailable. This article is available as a PDF only.","ISSN":"0021-9355","language":"en-US","author":[{"family":"Inman","given":"Verne T."},{"family":"M. Saunders","given":"J. B.","non-dropping-particle":"deC."},{"family":"Abbott","given":"LeRoy C."}],"issued":{"date-parts":[["1944",1]]}}}],"schema":"https://github.com/citation-style-language/schema/raw/master/csl-citation.json"} </w:instrText>
      </w:r>
      <w:r w:rsidR="00E52561">
        <w:fldChar w:fldCharType="separate"/>
      </w:r>
      <w:r w:rsidR="00E52561" w:rsidRPr="00E52561">
        <w:t>[1]</w:t>
      </w:r>
      <w:r w:rsidR="00E52561">
        <w:fldChar w:fldCharType="end"/>
      </w:r>
      <w:r w:rsidR="00E52561">
        <w:t xml:space="preserve">. With </w:t>
      </w:r>
      <w:r w:rsidR="00E52561" w:rsidRPr="00E52561">
        <w:t>electromyography</w:t>
      </w:r>
      <w:r w:rsidR="00E52561">
        <w:t xml:space="preserve"> (EMG), myoelectric signal can be recorded and aid in researches including gait analysis</w:t>
      </w:r>
      <w:r w:rsidR="00E52561">
        <w:fldChar w:fldCharType="begin"/>
      </w:r>
      <w:r w:rsidR="007104EF">
        <w:instrText xml:space="preserve"> ADDIN ZOTERO_ITEM CSL_CITATION {"citationID":"OkSjopo6","properties":{"formattedCitation":"[2]","plainCitation":"[2]","noteIndex":0},"citationItems":[{"id":"HpTQ1ta1/Wyc3x9l0","uris":["http://zotero.org/users/local/Jg4Thzek/items/675TIT8V"],"uri":["http://zotero.org/users/local/Jg4Thzek/items/675TIT8V"],"itemData":{"id":1251,"type":"article-journal","title":"Effect of Gait Cycle Selection on EMG Analysis During Walking in Adults and Children with Gait Pathology","container-title":"Gait &amp; Posture","page":"92-101","volume":"20","issue":"1","source":"ScienceDirect","abstract":"This paper presents the results of a project to evaluate different methods of gait cycle selection on the analysis of electromyography recorded during gait. Electromyography (EMG) describes the electrical activity associated with the muscle and is often interpreted in gait analysis using a simultaneously obtained signal to identify phases of the gait cycle. Phase transitions are often selected manually from reference signals derived from additional instrumentation, such as pressure platforms, footswitches and video cameras. We propose two methods (automatic and semi-automatic) as an alternative to the more traditional manual selection, and analyse how the gait cycle selection affects the EMG analysis. To quantify the differences between the gait cycles obtained using each method and to classify each cycle, three indices have been introduced. The effect of the gait cycle selection has been evaluated with respect to the EMG step profiles and temporal gait descriptors. An asymptomatic adult, an asymptomatic child and two children with cerebral palsy were examined using telemetric EMG devices and pressure footswitches. The results obtained showed that the method of gait cycle selection did not have a major influence for the adult, but it altered considerably the analysis in the case of the children with cerebral palsy.","DOI":"10.1016/S0966-6362(03)00099-7","ISSN":"0966-6362","journalAbbreviation":"Gait &amp; Posture","author":[{"family":"Stefano","given":"A. De"},{"family":"Burridge","given":"J. H"},{"family":"Yule","given":"V. T"},{"family":"Allen","given":"R"}],"issued":{"date-parts":[["2004",8,1]]}}}],"schema":"https://github.com/citation-style-language/schema/raw/master/csl-citation.json"} </w:instrText>
      </w:r>
      <w:r w:rsidR="00E52561">
        <w:fldChar w:fldCharType="separate"/>
      </w:r>
      <w:r w:rsidR="00E52561" w:rsidRPr="00E52561">
        <w:t>[2]</w:t>
      </w:r>
      <w:r w:rsidR="00E52561">
        <w:fldChar w:fldCharType="end"/>
      </w:r>
      <w:r w:rsidR="00E52561">
        <w:t>, fatigue evaluation</w:t>
      </w:r>
      <w:r w:rsidR="00E52561">
        <w:fldChar w:fldCharType="begin"/>
      </w:r>
      <w:r w:rsidR="007104EF">
        <w:instrText xml:space="preserve"> ADDIN ZOTERO_ITEM CSL_CITATION {"citationID":"HjhOvHHV","properties":{"formattedCitation":"[3]","plainCitation":"[3]","noteIndex":0},"citationItems":[{"id":"HpTQ1ta1/a9KILukn","uris":["http://zotero.org/users/local/Jg4Thzek/items/RYR7B7UY"],"uri":["http://zotero.org/users/local/Jg4Thzek/items/RYR7B7UY"],"itemData":{"id":1249,"type":"article-journal","title":"Surface EMG Based Muscle Fatigue Evaluation in Biomechanics","container-title":"Clinical Biomechanics (Bristol, Avon)","page":"327-340","volume":"24","issue":"4","source":"PubMed","abstract":"In the last three decades it has become quite common to evaluate local muscle fatigue by means of surface electromyographic (sEMG) signal processing. A large number of studies have been performed yielding signal-based quantitative criteria of fatigue in primarily static but also in dynamic tasks. The non-invasive nature of this approach has been particularly appealing in areas like ergonomics and occupational biomechanics, to name just the most prominent ones. However, a correct appreciation of the findings concerned can only be obtained by judging both the scientific value and practical utility of methods while appreciating the corresponding advantages and limitations. The aim of this paper is to serve as a state of the art summary of this issue. The paper gives an overview of classical and modern signal processing methods and techniques from the standpoint of applicability to sEMG signals in fatigue-inducing situations relevant to the broad field of biomechanics. Time domain, frequency domain, time-frequency and time-scale representations, and other methods such as fractal analysis and recurrence quantification analysis are described succinctly and are illustrated with their biomechanical applications, research or clinical alike. Examples from the authors' own work are incorporated where appropriate. The future of this methodology is projected by estimating those methods that have the greatest chance to be routinely used as reliable muscle fatigue measures.","DOI":"10.1016/j.clinbiomech.2009.01.010","ISSN":"1879-1271","note":"PMID: 19285766","journalAbbreviation":"Clin Biomech (Bristol, Avon)","language":"eng","author":[{"family":"Cifrek","given":"Mario"},{"family":"Medved","given":"Vladimir"},{"family":"Tonković","given":"Stanko"},{"family":"Ostojić","given":"Sasa"}],"issued":{"date-parts":[["2009",5]]}}}],"schema":"https://github.com/citation-style-language/schema/raw/master/csl-citation.json"} </w:instrText>
      </w:r>
      <w:r w:rsidR="00E52561">
        <w:fldChar w:fldCharType="separate"/>
      </w:r>
      <w:r w:rsidR="00E52561" w:rsidRPr="00E52561">
        <w:t>[3]</w:t>
      </w:r>
      <w:r w:rsidR="00E52561">
        <w:fldChar w:fldCharType="end"/>
      </w:r>
      <w:r w:rsidR="000B0134">
        <w:t xml:space="preserve">, </w:t>
      </w:r>
      <w:r w:rsidR="00EF6753" w:rsidRPr="00EF6753">
        <w:t>motor neuron disease</w:t>
      </w:r>
      <w:r w:rsidR="00EF6753">
        <w:t xml:space="preserve"> diagnosis</w:t>
      </w:r>
      <w:r w:rsidR="00EF6753">
        <w:fldChar w:fldCharType="begin"/>
      </w:r>
      <w:r w:rsidR="007104EF">
        <w:instrText xml:space="preserve"> ADDIN ZOTERO_ITEM CSL_CITATION {"citationID":"DQwPqb82","properties":{"formattedCitation":"[4]","plainCitation":"[4]","noteIndex":0},"citationItems":[{"id":"HpTQ1ta1/mMSpClF8","uris":["http://zotero.org/users/local/Jg4Thzek/items/HTTN4Z8B"],"uri":["http://zotero.org/users/local/Jg4Thzek/items/HTTN4Z8B"],"itemData":{"id":1241,"type":"article-journal","title":"Spatio-Temporal Representation of Multichannel EMG Firing Patterns and Its Clinical Applications","container-title":"Medical Engineering &amp; Physics","page":"420-430","volume":"19","issue":"5","source":"PubMed","abstract":"Analyzing motor unit (MU) activity is essential for studying the neurological dysfunction of upper motor neuron disorders (UMND). This study employs multichannel surface electromyographic (EMG) signals, as recorded from the upper arm during elbow flexion and extension, to analyze the temporal changes and spatial distribution of the dominant firing rate. To estimate the dominant firing rate, the autoregressive (AR) spectrum analysis method is utilized to detect the peaks and poles of the AR model, of the surface EMG spectrum below 40 Hz. The temporal changes in firing rates are also observed by using the spectrogram representation of low-frequency EMG spectra. The EMG spectrogram facilitates examination of the time-varying characteristics of firing rates and recruitment of MUs from surface EMG signal. The low-frequency spectra of multichannel EMG are then represented in a polar form to visualize the spatial distribution of firing patterns across muscles. Via spatio-temporal representation techniques, this study provides a viable approach of observing both the spatial and temporal patterns of MU activities in normal subjects and patients with UMND, including cerebrovascular disease and Parkinson's disease.","ISSN":"1350-4533","note":"PMID: 9338882","journalAbbreviation":"Med Eng Phys","language":"eng","author":[{"family":"Chen","given":"J. J."},{"family":"Sun","given":"T. Y."},{"family":"Lin","given":"T. H."},{"family":"Lin","given":"T. S."}],"issued":{"date-parts":[["1997",7]]}}}],"schema":"https://github.com/citation-style-language/schema/raw/master/csl-citation.json"} </w:instrText>
      </w:r>
      <w:r w:rsidR="00EF6753">
        <w:fldChar w:fldCharType="separate"/>
      </w:r>
      <w:r w:rsidR="00EF6753" w:rsidRPr="00EF6753">
        <w:t>[4]</w:t>
      </w:r>
      <w:r w:rsidR="00EF6753">
        <w:fldChar w:fldCharType="end"/>
      </w:r>
      <w:r w:rsidR="00EF6753">
        <w:t>, and prosthesis control</w:t>
      </w:r>
      <w:r w:rsidR="00EF6753">
        <w:fldChar w:fldCharType="begin"/>
      </w:r>
      <w:r w:rsidR="007104EF">
        <w:instrText xml:space="preserve"> ADDIN ZOTERO_ITEM CSL_CITATION {"citationID":"tsXsNwhR","properties":{"formattedCitation":"[5]\\uc0\\u8211{}[8]","plainCitation":"[5]–[8]","noteIndex":0},"citationItems":[{"id":"HpTQ1ta1/BQ4r8LmB","uris":["http://zotero.org/users/local/Jg4Thzek/items/HU9YF75C"],"uri":["http://zotero.org/users/local/Jg4Thzek/items/HU9YF75C"],"itemData":{"id":1243,"type":"article-journal","title":"Surface EMG in Advanced Hand Prosthetics","container-title":"Biological Cybernetics","page":"35-47","volume":"100","issue":"1","source":"PubMed","abstract":"One of the major problems when dealing with highly dexterous, active hand prostheses is their control by the patient wearing them. With the advances in mechatronics, building prosthetic hands with multiple active degrees of freedom is realisable, but actively controlling the position and especially the exerted force of each finger cannot yet be done naturally. This paper deals with advanced robotic hand control via surface electromyography. Building upon recent results, we show that machine learning, together with a simple downsampling algorithm, can be effectively used to control on-line, in real time, finger position as well as finger force of a highly dexterous robotic hand. The system determines the type of grasp a human subject is willing to use, and the required amount of force involved, with a high degree of accuracy. This represents a remarkable improvement with respect to the state-of-the-art of feed-forward control of dexterous mechanical hands, and opens up a scenario in which amputees will be able to control hand prostheses in a much finer way than it has so far been possible.","DOI":"10.1007/s00422-008-0278-1","ISSN":"1432-0770","note":"PMID: 19015872","journalAbbreviation":"Biol Cybern","language":"eng","author":[{"family":"Castellini","given":"Claudio"},{"family":"Smagt","given":"Patrick","non-dropping-particle":"van der"}],"issued":{"date-parts":[["2009",1]]}}},{"id":"HpTQ1ta1/ZKaK5ORW","uris":["http://zotero.org/users/local/Jg4Thzek/items/3SXUVPNC"],"uri":["http://zotero.org/users/local/Jg4Thzek/items/3SXUVPNC"],"itemData":{"id":1258,"type":"article-journal","title":"Surface EMG Pattern Recognition for Real-Time Control of a Wrist Exoskeleton","container-title":"Biomedical engineering online","page":"41","volume":"9","source":"ResearchGate","abstract":"Surface electromyography (sEMG) signals have been used in numerous studies for the classification of hand gestures and movements and successfully implemented in the position control of different prosthetic hands for amputees. sEMG could also potentially be used for controlling wearable devices which could assist persons with reduced muscle mass, such as those suffering from sarcopenia. While using sEMG for position control, estimation of the intended torque of the user could also provide sufficient information for an effective force control of the hand prosthesis or assistive device. This paper presents the use of pattern recognition to estimate the torque applied by a human wrist and its real-time implementation to control a novel two degree of freedom wrist exoskeleton prototype (WEP), which was specifically developed for this work.\nBoth sEMG data from four muscles of the forearm and wrist torque were collected from eight volunteers by using a custom-made testing rig. The features that were extracted from the sEMG signals included root mean square (rms) EMG amplitude, autoregressive (AR) model coefficients and waveform length. Support Vector Machines (SVM) was employed to extract classes of different force intensity from the sEMG signals. After assessing the off-line performance of the used classification technique, the WEP was used to validate in real-time the proposed classification scheme.\nThe data gathered from the volunteers were divided into two sets, one with nineteen classes and the second with thirteen classes. Each set of data was further divided into training and testing data. It was observed that the average testing accuracy in the case of nineteen classes was about 88% whereas the average accuracy in the case of thirteen classes reached about 96%. Classification and control algorithm implemented in the WEP was executed in less than 125 ms.\nThe results of this study showed that classification of EMG signals by separating different levels of torque is possible for wrist motion and the use of only four EMG channels is suitable. The study also showed that SVM classification technique is suitable for real-time classification of sEMG signals and can be effectively implemented for controlling an exoskeleton device for assisting the wrist.","DOI":"10.1186/1475-925X-9-41","author":[{"family":"O Khokhar","given":"Zeeshan"},{"family":"Xiao","given":"Zhen"},{"family":"Menon","given":"Carlo"}],"issued":{"date-parts":[["2010",8,26]]}}},{"id":"HpTQ1ta1/EQTEpZPs","uris":["http://zotero.org/users/local/Jg4Thzek/items/6LJMPIP5"],"uri":["http://zotero.org/users/local/Jg4Thzek/items/6LJMPIP5"],"itemData":{"id":1236,"type":"article-journal","title":"Estimation of Upper Limb Joint Angle Using Surface EMG Signal","container-title":"International Journal of Advanced Robotic Systems","page":"369","volume":"10","issue":"10","abstract":"In the development of robot-assisted rehabilitation systems for upper limb rehabilitation therapy, human electromyogram (EMG) is widely used due to its ability to detect the user intended motion. EMG is one kind of biological signal that can be recorded to evaluate the performance of skeletal muscles by means of a sensor electrode. Based on recorded EMG signals, user intended motion could be extracted via estimation of joint torque, force or angle. Therefore, this estimation becomes one of the most important factors to achieve accurate user intended motion. In this paper, an upper limb joint angle estimation methodology is proposed. A back propagation neural network (BPNN) is developed to estimate the shoulder and elbow joint angles from the recorded EMG signals. A Virtual Human Model (VHM) is also developed and integrated with BPNN to perform the simulation of the estimated angle. The relationships between sEMG signals and upper limb movements are observed in this paper. The effectiveness of our developments is evaluated with four healthy subjects and a VHM simulation. The results show that the methodology can be used in the estimation of joint angles based on EMG.","DOI":"10.5772/56717","ISSN":"1729-8814","journalAbbreviation":"International Journal of Advanced Robotic Systems","author":[{"family":"Aung","given":"Yee Mon"},{"family":"Al-Jumaily","given":"Adel"}],"issued":{"date-parts":[["2013",1,1]]}}},{"id":"HpTQ1ta1/sdQByIB6","uris":["http://zotero.org/users/local/Jg4Thzek/items/4JJQ5PMF"],"uri":["http://zotero.org/users/local/Jg4Thzek/items/4JJQ5PMF"],"itemData":{"id":1266,"type":"article-journal","title":"Simultaneous and Proportional Force Estimation for Multifunction Myoelectric Prostheses Using Mirrored Bilateral Training","container-title":"IEEE Transactions on Biomedical Engineering","page":"681-688","volume":"58","issue":"3","source":"Crossref","DOI":"10.1109/TBME.2010.2068298","ISSN":"0018-9294, 1558-2531","author":[{"family":"Nielsen","given":"Johnny L G"},{"family":"Holmgaard","given":"S"},{"literal":"Ning Jiang"},{"family":"Englehart","given":"K B"},{"family":"Farina","given":"D"},{"family":"Parker","given":"P A"}],"issued":{"date-parts":[["2011",3]]}}}],"schema":"https://github.com/citation-style-language/schema/raw/master/csl-citation.json"} </w:instrText>
      </w:r>
      <w:r w:rsidR="00EF6753">
        <w:fldChar w:fldCharType="separate"/>
      </w:r>
      <w:r w:rsidR="00EF6753" w:rsidRPr="00EF6753">
        <w:t>[5]–[8]</w:t>
      </w:r>
      <w:r w:rsidR="00EF6753">
        <w:fldChar w:fldCharType="end"/>
      </w:r>
      <w:r w:rsidR="00ED371A">
        <w:t>.</w:t>
      </w:r>
      <w:r w:rsidR="009958BD">
        <w:rPr>
          <w:rFonts w:eastAsiaTheme="minorEastAsia"/>
          <w:lang w:eastAsia="zh-TW"/>
        </w:rPr>
        <w:t xml:space="preserve"> </w:t>
      </w:r>
    </w:p>
    <w:p w:rsidR="00367969" w:rsidRDefault="009C1E84" w:rsidP="00367969">
      <w:pPr>
        <w:pStyle w:val="IEEEParagraph"/>
        <w:rPr>
          <w:rFonts w:eastAsiaTheme="minorEastAsia"/>
          <w:lang w:eastAsia="zh-TW"/>
        </w:rPr>
      </w:pPr>
      <w:r>
        <w:rPr>
          <w:rFonts w:eastAsiaTheme="minorEastAsia" w:hint="eastAsia"/>
          <w:lang w:eastAsia="zh-TW"/>
        </w:rPr>
        <w:t>S</w:t>
      </w:r>
      <w:r w:rsidR="009958BD">
        <w:rPr>
          <w:rFonts w:eastAsiaTheme="minorEastAsia"/>
          <w:lang w:eastAsia="zh-TW"/>
        </w:rPr>
        <w:t xml:space="preserve">urface EMG (sEMG) is widely employed </w:t>
      </w:r>
      <w:r>
        <w:rPr>
          <w:rFonts w:eastAsiaTheme="minorEastAsia" w:hint="eastAsia"/>
          <w:lang w:eastAsia="zh-TW"/>
        </w:rPr>
        <w:t>in</w:t>
      </w:r>
      <w:r w:rsidR="00367969">
        <w:rPr>
          <w:rFonts w:eastAsiaTheme="minorEastAsia"/>
          <w:lang w:eastAsia="zh-TW"/>
        </w:rPr>
        <w:t xml:space="preserve"> EMG signal recording</w:t>
      </w:r>
      <w:r>
        <w:rPr>
          <w:rFonts w:eastAsiaTheme="minorEastAsia"/>
          <w:lang w:eastAsia="zh-TW"/>
        </w:rPr>
        <w:t>, because of its ease of use and non-invasiveness</w:t>
      </w:r>
      <w:r w:rsidR="00367969">
        <w:rPr>
          <w:rFonts w:eastAsiaTheme="minorEastAsia"/>
          <w:lang w:eastAsia="zh-TW"/>
        </w:rPr>
        <w:t>. sEMG records the summation of action potential generated by a group of motor neurons, as the muscle tissue between the motor neurons and surface electrode acts as a volume conductor. sEMG signal is affected by the crosstalk of multiple muscle group</w:t>
      </w:r>
      <w:r w:rsidR="00B61595">
        <w:rPr>
          <w:rFonts w:eastAsiaTheme="minorEastAsia"/>
          <w:lang w:eastAsia="zh-TW"/>
        </w:rPr>
        <w:t>s</w:t>
      </w:r>
      <w:r w:rsidR="00367969">
        <w:rPr>
          <w:rFonts w:eastAsiaTheme="minorEastAsia"/>
          <w:lang w:eastAsia="zh-TW"/>
        </w:rPr>
        <w:fldChar w:fldCharType="begin"/>
      </w:r>
      <w:r w:rsidR="007104EF">
        <w:rPr>
          <w:rFonts w:eastAsiaTheme="minorEastAsia"/>
          <w:lang w:eastAsia="zh-TW"/>
        </w:rPr>
        <w:instrText xml:space="preserve"> ADDIN ZOTERO_ITEM CSL_CITATION {"citationID":"6kBIqh3A","properties":{"formattedCitation":"[9]","plainCitation":"[9]","noteIndex":0},"citationItems":[{"id":"HpTQ1ta1/g39YFWGc","uris":["http://zotero.org/users/local/Jg4Thzek/items/Z5ME8S2Q"],"uri":["http://zotero.org/users/local/Jg4Thzek/items/Z5ME8S2Q"],"itemData":{"id":1255,"type":"article-journal","title":"Crosstalk in Surface Electromyography: Theoretical and Practical Estimates","container-title":"Journal of Electromyography and Kinesiology: Official Journal of the International Society of Electrophysiological Kinesiology","page":"15-26","volume":"4","issue":"1","source":"PubMed","abstract":"The purpose of this paper is to address four aspects of surface electromyography associated with crosstalk between adjacent recording sites. The first issue that is addressed in the potential crosstalk between electrodes located on muscles with different functions: antagonist pairs, or muscles with one common and one different function (i.e. soleus/peroneus longus or soleus/ gastrocnemius). Practical functional tests are utilized to demonstrate the crosstalk between muscle pairs to be negligible. The second goal is to estimate the depth of pick-up and the crosstalk between myoelectric signals from agonist muscles using a theoretical model. The depth of pick-up was estimated to be 1.8 cm (including a 2 mm layer of skin and fat) using electrodes of 49 mm(2) with bipolar spacing of 2.0 cm. A cross-correlation technique is demonstrated which predicts the common signal (crosstalk) between surface electrodes with electrode-pair spacing of 1 cm around a hypothetical muscle. The predicted crosstalk using cross-correlation measures was 49% at 1 cm electrode-pair spacing dropping to 13% at 2 cm spacing and 4% at 3 cm. The third part compares these predictions with crosstalk measures from experimental recordings taken from electrode pairs spaced 2.5 cm apart around the quadriceps. At 2.5 cm spacing there was 22-24% common signal dropping to between 4-7% at 5 cm and to between 1 and 2% at 7.5 cm. The fourth and last component of this report assesses three methods to decrease the range of pick-up and thereby potential crosstalk: electrodes of smaller surface area, reduced bipolar spacing and mathematical differentiation. All three techniques reduce the common signal by varying amounts; all three techniques combined reduce the predicted crosstalk for the 1.0 cm electrode-pair spacing from 49-10.5%.","DOI":"10.1016/1050-6411(94)90023-X","ISSN":"1050-6411","note":"PMID: 20870543","shortTitle":"Crosstalk in surface electromyography","journalAbbreviation":"J Electromyogr Kinesiol","language":"eng","author":[{"family":"Winter","given":"D. A."},{"family":"Fuglevand","given":"A. J."},{"family":"Archer","given":"S. E."}],"issued":{"date-parts":[["1994"]]}}}],"schema":"https://github.com/citation-style-language/schema/raw/master/csl-citation.json"} </w:instrText>
      </w:r>
      <w:r w:rsidR="00367969">
        <w:rPr>
          <w:rFonts w:eastAsiaTheme="minorEastAsia"/>
          <w:lang w:eastAsia="zh-TW"/>
        </w:rPr>
        <w:fldChar w:fldCharType="separate"/>
      </w:r>
      <w:r w:rsidR="00367969" w:rsidRPr="00367969">
        <w:t>[9]</w:t>
      </w:r>
      <w:r w:rsidR="00367969">
        <w:rPr>
          <w:rFonts w:eastAsiaTheme="minorEastAsia"/>
          <w:lang w:eastAsia="zh-TW"/>
        </w:rPr>
        <w:fldChar w:fldCharType="end"/>
      </w:r>
      <w:r w:rsidR="00B61595">
        <w:rPr>
          <w:rFonts w:eastAsiaTheme="minorEastAsia"/>
          <w:lang w:eastAsia="zh-TW"/>
        </w:rPr>
        <w:t>.</w:t>
      </w:r>
    </w:p>
    <w:p w:rsidR="00180393" w:rsidRDefault="001A0EA0" w:rsidP="00180393">
      <w:pPr>
        <w:pStyle w:val="IEEEParagraph"/>
        <w:rPr>
          <w:rFonts w:eastAsiaTheme="minorEastAsia"/>
          <w:lang w:eastAsia="zh-TW"/>
        </w:rPr>
      </w:pPr>
      <w:r>
        <w:rPr>
          <w:rFonts w:eastAsiaTheme="minorEastAsia"/>
          <w:lang w:eastAsia="zh-TW"/>
        </w:rPr>
        <w:t>sEMG signal can be assumed to be linearly mixed action potential originating from different muscle groups, t</w:t>
      </w:r>
      <w:r w:rsidR="00180393">
        <w:rPr>
          <w:rFonts w:eastAsiaTheme="minorEastAsia"/>
          <w:lang w:eastAsia="zh-TW"/>
        </w:rPr>
        <w:t>he</w:t>
      </w:r>
      <w:r w:rsidR="006620E9">
        <w:rPr>
          <w:rFonts w:eastAsiaTheme="minorEastAsia"/>
          <w:lang w:eastAsia="zh-TW"/>
        </w:rPr>
        <w:t xml:space="preserve"> effect of crosstalk</w:t>
      </w:r>
      <w:r w:rsidR="00180393">
        <w:rPr>
          <w:rFonts w:eastAsiaTheme="minorEastAsia"/>
          <w:lang w:eastAsia="zh-TW"/>
        </w:rPr>
        <w:t xml:space="preserve"> can be mitigate</w:t>
      </w:r>
      <w:r>
        <w:rPr>
          <w:rFonts w:eastAsiaTheme="minorEastAsia"/>
          <w:lang w:eastAsia="zh-TW"/>
        </w:rPr>
        <w:t>d</w:t>
      </w:r>
      <w:r w:rsidR="00180393">
        <w:rPr>
          <w:rFonts w:eastAsiaTheme="minorEastAsia"/>
          <w:lang w:eastAsia="zh-TW"/>
        </w:rPr>
        <w:t xml:space="preserve"> through the use of b</w:t>
      </w:r>
      <w:r w:rsidR="00180393" w:rsidRPr="0042639F">
        <w:rPr>
          <w:rFonts w:eastAsiaTheme="minorEastAsia"/>
          <w:lang w:eastAsia="zh-TW"/>
        </w:rPr>
        <w:t>lind signal separation</w:t>
      </w:r>
      <w:r w:rsidR="00571D3E">
        <w:rPr>
          <w:rFonts w:eastAsiaTheme="minorEastAsia"/>
          <w:lang w:eastAsia="zh-TW"/>
        </w:rPr>
        <w:t xml:space="preserve"> (BSS) algorithm. </w:t>
      </w:r>
      <w:r w:rsidR="00180393">
        <w:rPr>
          <w:rFonts w:eastAsiaTheme="minorEastAsia"/>
          <w:lang w:eastAsia="zh-TW"/>
        </w:rPr>
        <w:t>A popular BSS method, Independent component a</w:t>
      </w:r>
      <w:r w:rsidR="00180393" w:rsidRPr="00180393">
        <w:rPr>
          <w:rFonts w:eastAsiaTheme="minorEastAsia"/>
          <w:lang w:eastAsia="zh-TW"/>
        </w:rPr>
        <w:t>nalysis</w:t>
      </w:r>
      <w:r w:rsidR="00180393">
        <w:rPr>
          <w:rFonts w:eastAsiaTheme="minorEastAsia"/>
          <w:lang w:eastAsia="zh-TW"/>
        </w:rPr>
        <w:t xml:space="preserve"> (ICA)</w:t>
      </w:r>
      <w:r w:rsidR="005A3668">
        <w:rPr>
          <w:rFonts w:eastAsiaTheme="minorEastAsia"/>
          <w:lang w:eastAsia="zh-TW"/>
        </w:rPr>
        <w:t>,</w:t>
      </w:r>
      <w:r w:rsidR="00180393">
        <w:rPr>
          <w:rFonts w:eastAsiaTheme="minorEastAsia"/>
          <w:lang w:eastAsia="zh-TW"/>
        </w:rPr>
        <w:t xml:space="preserve"> were employed to </w:t>
      </w:r>
      <w:r w:rsidR="00B84BA7">
        <w:rPr>
          <w:rFonts w:eastAsiaTheme="minorEastAsia"/>
          <w:lang w:eastAsia="zh-TW"/>
        </w:rPr>
        <w:t>increase the classification accuracy in gesture recognition</w:t>
      </w:r>
      <w:r w:rsidR="00B84BA7">
        <w:rPr>
          <w:rFonts w:eastAsiaTheme="minorEastAsia"/>
          <w:lang w:eastAsia="zh-TW"/>
        </w:rPr>
        <w:fldChar w:fldCharType="begin"/>
      </w:r>
      <w:r w:rsidR="007104EF">
        <w:rPr>
          <w:rFonts w:eastAsiaTheme="minorEastAsia"/>
          <w:lang w:eastAsia="zh-TW"/>
        </w:rPr>
        <w:instrText xml:space="preserve"> ADDIN ZOTERO_ITEM CSL_CITATION {"citationID":"wKhW0dPb","properties":{"formattedCitation":"[10]","plainCitation":"[10]","noteIndex":0},"citationItems":[{"id":"HpTQ1ta1/yaPWDqSN","uris":["http://zotero.org/users/local/Jg4Thzek/items/9RF9I9T8"],"uri":["http://zotero.org/users/local/Jg4Thzek/items/9RF9I9T8"],"itemData":{"id":1335,"type":"paper-conference","title":"Hand Gestures for HCI Using ICA of EMG","container-title":"Proceedings of the HCSNet Workshop on Use of Vision in Human-computer Interaction - Volume 56","collection-title":"VisHCI '06","publisher":"Australian Computer Society, Inc.","publisher-place":"Darlinghurst, Australia, Australia","page":"67–72","source":"ACM Digital Library","event-place":"Darlinghurst, Australia, Australia","abstract":"Aiming at the use of hand gestures for human-computer interaction, this paper presents an approach to identify hand gestures using muscle activity separated from electromyogram (EMG) using independent component analysis. While there are a number of previous reported works where EMG has been used to identify movement, the limitation of the earlier works is that the systems are suitable for gross actions, and when there is one prime-mover muscle involved. This paper reports overcoming the difficulty by using independent component analysis to separate muscle activity from different muscles and classified using backpropogation neural networks. The paper reports experimental results where the system was accurately able to identify the hand gesture using this technique for all the experiments (100%). The system has been shown not to be sensitive to electrode position as the experiments were repeated on different days. The advantage of such a system is that it is easy to train by a lay user, and can easily be implemented in real time after the initial training.","URL":"http://dl.acm.org/citation.cfm?id=1273385.1273397","author":[{"family":"Naik","given":"Ganesh R."},{"family":"Kumar","given":"Dinesh Kant"},{"family":"Singh","given":"Vijay Pal"},{"family":"Palaniswami","given":"Marimuthu"}],"issued":{"date-parts":[["2006"]]},"accessed":{"date-parts":[["2018",10,23]]}}}],"schema":"https://github.com/citation-style-language/schema/raw/master/csl-citation.json"} </w:instrText>
      </w:r>
      <w:r w:rsidR="00B84BA7">
        <w:rPr>
          <w:rFonts w:eastAsiaTheme="minorEastAsia"/>
          <w:lang w:eastAsia="zh-TW"/>
        </w:rPr>
        <w:fldChar w:fldCharType="separate"/>
      </w:r>
      <w:r w:rsidR="00B84BA7" w:rsidRPr="00B84BA7">
        <w:t>[10]</w:t>
      </w:r>
      <w:r w:rsidR="00B84BA7">
        <w:rPr>
          <w:rFonts w:eastAsiaTheme="minorEastAsia"/>
          <w:lang w:eastAsia="zh-TW"/>
        </w:rPr>
        <w:fldChar w:fldCharType="end"/>
      </w:r>
      <w:r w:rsidR="00B84BA7">
        <w:rPr>
          <w:rFonts w:eastAsiaTheme="minorEastAsia"/>
          <w:lang w:eastAsia="zh-TW"/>
        </w:rPr>
        <w:t>.</w:t>
      </w:r>
      <w:r w:rsidR="00195690">
        <w:rPr>
          <w:rFonts w:eastAsiaTheme="minorEastAsia"/>
          <w:lang w:eastAsia="zh-TW"/>
        </w:rPr>
        <w:t xml:space="preserve"> However, since the </w:t>
      </w:r>
      <w:r w:rsidR="00195690">
        <w:rPr>
          <w:rFonts w:eastAsiaTheme="minorEastAsia" w:hint="eastAsia"/>
          <w:lang w:eastAsia="zh-TW"/>
        </w:rPr>
        <w:t xml:space="preserve">probability distribution of a sEMG signal is close to Gaussian distribution, ICA cannot be </w:t>
      </w:r>
      <w:r w:rsidR="00195690">
        <w:rPr>
          <w:rFonts w:eastAsiaTheme="minorEastAsia"/>
          <w:lang w:eastAsia="zh-TW"/>
        </w:rPr>
        <w:t>applied</w:t>
      </w:r>
      <w:r w:rsidR="00195690">
        <w:rPr>
          <w:rFonts w:eastAsiaTheme="minorEastAsia" w:hint="eastAsia"/>
          <w:lang w:eastAsia="zh-TW"/>
        </w:rPr>
        <w:t xml:space="preserve"> effectively </w:t>
      </w:r>
      <w:r w:rsidR="00F46715">
        <w:rPr>
          <w:rFonts w:eastAsiaTheme="minorEastAsia" w:hint="eastAsia"/>
          <w:lang w:eastAsia="zh-TW"/>
        </w:rPr>
        <w:t xml:space="preserve">to </w:t>
      </w:r>
      <w:r w:rsidR="00F46715">
        <w:rPr>
          <w:rFonts w:eastAsiaTheme="minorEastAsia"/>
          <w:lang w:eastAsia="zh-TW"/>
        </w:rPr>
        <w:t>separate</w:t>
      </w:r>
      <w:r w:rsidR="00F46715">
        <w:rPr>
          <w:rFonts w:eastAsiaTheme="minorEastAsia" w:hint="eastAsia"/>
          <w:lang w:eastAsia="zh-TW"/>
        </w:rPr>
        <w:t xml:space="preserve"> </w:t>
      </w:r>
      <w:r w:rsidR="00F46715">
        <w:rPr>
          <w:rFonts w:eastAsiaTheme="minorEastAsia"/>
          <w:lang w:eastAsia="zh-TW"/>
        </w:rPr>
        <w:t>the</w:t>
      </w:r>
      <w:r w:rsidR="002256F9">
        <w:rPr>
          <w:rFonts w:eastAsiaTheme="minorEastAsia"/>
          <w:lang w:eastAsia="zh-TW"/>
        </w:rPr>
        <w:t xml:space="preserve"> action potential from</w:t>
      </w:r>
      <w:r w:rsidR="00195690">
        <w:rPr>
          <w:rFonts w:eastAsiaTheme="minorEastAsia" w:hint="eastAsia"/>
          <w:lang w:eastAsia="zh-TW"/>
        </w:rPr>
        <w:t xml:space="preserve"> sEMG signal</w:t>
      </w:r>
      <w:r w:rsidR="00772DB1">
        <w:rPr>
          <w:rFonts w:eastAsiaTheme="minorEastAsia"/>
          <w:lang w:eastAsia="zh-TW"/>
        </w:rPr>
        <w:fldChar w:fldCharType="begin"/>
      </w:r>
      <w:r w:rsidR="007104EF">
        <w:rPr>
          <w:rFonts w:eastAsiaTheme="minorEastAsia"/>
          <w:lang w:eastAsia="zh-TW"/>
        </w:rPr>
        <w:instrText xml:space="preserve"> ADDIN ZOTERO_ITEM CSL_CITATION {"citationID":"wD5Uis1u","properties":{"formattedCitation":"[11]","plainCitation":"[11]","noteIndex":0},"citationItems":[{"id":"HpTQ1ta1/twy6G997","uris":["http://zotero.org/users/local/Jg4Thzek/items/WB2VQ5Q2"],"uri":["http://zotero.org/users/local/Jg4Thzek/items/WB2VQ5Q2"],"itemData":{"id":1321,"type":"paper-conference","title":"Multi Run Ica and Surface EMG Based Signal Processing System for Recognising Hand Gestures","container-title":"2008 8th IEEE International Conference on Computer and Information Technology","publisher":"IEEE","publisher-place":"Sydney, Australia","page":"700-705","source":"Crossref","event":"2008 8th IEEE International Conference on Computer and Information Technology (CIT)","event-place":"Sydney, Australia","URL":"http://ieeexplore.ieee.org/document/4594760/","DOI":"10.1109/CIT.2008.4594760","ISBN":"978-1-4244-2357-6","author":[{"family":"Naik","given":"Ganesh R."},{"family":"Kumar","given":"Dinesh K."},{"family":"Palaniswami","given":"Marimuthu"}],"issued":{"date-parts":[["2008",7]]},"accessed":{"date-parts":[["2018",10,22]]}}}],"schema":"https://github.com/citation-style-language/schema/raw/master/csl-citation.json"} </w:instrText>
      </w:r>
      <w:r w:rsidR="00772DB1">
        <w:rPr>
          <w:rFonts w:eastAsiaTheme="minorEastAsia"/>
          <w:lang w:eastAsia="zh-TW"/>
        </w:rPr>
        <w:fldChar w:fldCharType="separate"/>
      </w:r>
      <w:r w:rsidR="00772DB1" w:rsidRPr="00772DB1">
        <w:t>[11]</w:t>
      </w:r>
      <w:r w:rsidR="00772DB1">
        <w:rPr>
          <w:rFonts w:eastAsiaTheme="minorEastAsia"/>
          <w:lang w:eastAsia="zh-TW"/>
        </w:rPr>
        <w:fldChar w:fldCharType="end"/>
      </w:r>
      <w:r w:rsidR="005A3668">
        <w:rPr>
          <w:rFonts w:eastAsiaTheme="minorEastAsia"/>
          <w:lang w:eastAsia="zh-TW"/>
        </w:rPr>
        <w:t>. ICA</w:t>
      </w:r>
      <w:r w:rsidR="00772DB1">
        <w:rPr>
          <w:rFonts w:eastAsiaTheme="minorEastAsia"/>
          <w:lang w:eastAsia="zh-TW"/>
        </w:rPr>
        <w:t xml:space="preserve"> was mostly used to remove motion artefacts</w:t>
      </w:r>
      <w:r w:rsidR="00772DB1">
        <w:rPr>
          <w:rFonts w:eastAsiaTheme="minorEastAsia"/>
          <w:lang w:eastAsia="zh-TW"/>
        </w:rPr>
        <w:fldChar w:fldCharType="begin"/>
      </w:r>
      <w:r w:rsidR="007104EF">
        <w:rPr>
          <w:rFonts w:eastAsiaTheme="minorEastAsia"/>
          <w:lang w:eastAsia="zh-TW"/>
        </w:rPr>
        <w:instrText xml:space="preserve"> ADDIN ZOTERO_ITEM CSL_CITATION {"citationID":"dawXUPhL","properties":{"formattedCitation":"[12]","plainCitation":"[12]","noteIndex":0},"citationItems":[{"id":"HpTQ1ta1/qVnx3gly","uris":["http://zotero.org/users/local/Jg4Thzek/items/2N3SRRYN"],"uri":["http://zotero.org/users/local/Jg4Thzek/items/2N3SRRYN"],"itemData":{"id":1296,"type":"paper-conference","title":"Continuous Motion Decoding from EMG Using Independent Component Analysis and Adaptive Model Training","container-title":"2014 36th Annual International Conference of the IEEE Engineering in Medicine and Biology Society","publisher":"IEEE","publisher-place":"Chicago, IL","page":"5068-5071","source":"Crossref","event":"2014 36th Annual International Conference of the IEEE Engineering in Medicine and Biology Society (EMBC)","event-place":"Chicago, IL","URL":"http://ieeexplore.ieee.org/document/6944764/","DOI":"10.1109/EMBC.2014.6944764","ISBN":"978-1-4244-7929-0","author":[{"literal":"Qin Zhang"},{"literal":"Caihua Xiong"},{"literal":"Wenbin Chen"}],"issued":{"date-parts":[["2014",8]]},"accessed":{"date-parts":[["2018",10,21]]}}}],"schema":"https://github.com/citation-style-language/schema/raw/master/csl-citation.json"} </w:instrText>
      </w:r>
      <w:r w:rsidR="00772DB1">
        <w:rPr>
          <w:rFonts w:eastAsiaTheme="minorEastAsia"/>
          <w:lang w:eastAsia="zh-TW"/>
        </w:rPr>
        <w:fldChar w:fldCharType="separate"/>
      </w:r>
      <w:r w:rsidR="00772DB1" w:rsidRPr="00772DB1">
        <w:t>[12]</w:t>
      </w:r>
      <w:r w:rsidR="00772DB1">
        <w:rPr>
          <w:rFonts w:eastAsiaTheme="minorEastAsia"/>
          <w:lang w:eastAsia="zh-TW"/>
        </w:rPr>
        <w:fldChar w:fldCharType="end"/>
      </w:r>
      <w:r w:rsidR="00195690">
        <w:rPr>
          <w:rFonts w:eastAsiaTheme="minorEastAsia" w:hint="eastAsia"/>
          <w:lang w:eastAsia="zh-TW"/>
        </w:rPr>
        <w:t>.</w:t>
      </w:r>
    </w:p>
    <w:p w:rsidR="0042639F" w:rsidRDefault="004F1C51" w:rsidP="0042639F">
      <w:pPr>
        <w:pStyle w:val="IEEEParagraph"/>
        <w:rPr>
          <w:rFonts w:eastAsiaTheme="minorEastAsia"/>
          <w:lang w:eastAsia="zh-TW"/>
        </w:rPr>
      </w:pPr>
      <w:r>
        <w:rPr>
          <w:rFonts w:eastAsiaTheme="minorEastAsia"/>
          <w:lang w:eastAsia="zh-TW"/>
        </w:rPr>
        <w:t>C</w:t>
      </w:r>
      <w:r w:rsidR="00B61595">
        <w:rPr>
          <w:rFonts w:eastAsiaTheme="minorEastAsia"/>
          <w:lang w:eastAsia="zh-TW"/>
        </w:rPr>
        <w:t>rosstalk</w:t>
      </w:r>
      <w:r>
        <w:rPr>
          <w:rFonts w:eastAsiaTheme="minorEastAsia"/>
          <w:lang w:eastAsia="zh-TW"/>
        </w:rPr>
        <w:t xml:space="preserve"> between muscle groups</w:t>
      </w:r>
      <w:r w:rsidR="00B61595">
        <w:rPr>
          <w:rFonts w:eastAsiaTheme="minorEastAsia"/>
          <w:lang w:eastAsia="zh-TW"/>
        </w:rPr>
        <w:t xml:space="preserve"> can be</w:t>
      </w:r>
      <w:r w:rsidR="008F6574">
        <w:rPr>
          <w:rFonts w:eastAsiaTheme="minorEastAsia"/>
          <w:lang w:eastAsia="zh-TW"/>
        </w:rPr>
        <w:t xml:space="preserve"> easily</w:t>
      </w:r>
      <w:r w:rsidR="00B61595">
        <w:rPr>
          <w:rFonts w:eastAsiaTheme="minorEastAsia"/>
          <w:lang w:eastAsia="zh-TW"/>
        </w:rPr>
        <w:t xml:space="preserve"> </w:t>
      </w:r>
      <w:r w:rsidR="008F6574">
        <w:rPr>
          <w:rFonts w:eastAsiaTheme="minorEastAsia"/>
          <w:lang w:eastAsia="zh-TW"/>
        </w:rPr>
        <w:t>observed from the forearm. Multiple muscle groups are present in the forearm, in charge of functions including wrist motion and hand gestures</w:t>
      </w:r>
      <w:r w:rsidR="00AC71B1">
        <w:rPr>
          <w:rFonts w:eastAsiaTheme="minorEastAsia"/>
          <w:lang w:eastAsia="zh-TW"/>
        </w:rPr>
        <w:fldChar w:fldCharType="begin"/>
      </w:r>
      <w:r w:rsidR="007104EF">
        <w:rPr>
          <w:rFonts w:eastAsiaTheme="minorEastAsia"/>
          <w:lang w:eastAsia="zh-TW"/>
        </w:rPr>
        <w:instrText xml:space="preserve"> ADDIN ZOTERO_ITEM CSL_CITATION {"citationID":"gqiYztxK","properties":{"formattedCitation":"[13]","plainCitation":"[13]","noteIndex":0},"citationItems":[{"id":"HpTQ1ta1/uDGAQmc7","uris":["http://zotero.org/users/local/Jg4Thzek/items/ANF7L2YE"],"uri":["http://zotero.org/users/local/Jg4Thzek/items/ANF7L2YE"],"itemData":{"id":1391,"type":"book","title":"Gray's Anatomy: The Anatomical Basis of Clinical Practice","collection-title":"Forty-first edition","publisher":"Elsevier Limited","author":[{"literal":"Susan Standring"}],"issued":{"date-parts":[["2016"]]}}}],"schema":"https://github.com/citation-style-language/schema/raw/master/csl-citation.json"} </w:instrText>
      </w:r>
      <w:r w:rsidR="00AC71B1">
        <w:rPr>
          <w:rFonts w:eastAsiaTheme="minorEastAsia"/>
          <w:lang w:eastAsia="zh-TW"/>
        </w:rPr>
        <w:fldChar w:fldCharType="separate"/>
      </w:r>
      <w:r w:rsidR="00772DB1" w:rsidRPr="00772DB1">
        <w:t>[13]</w:t>
      </w:r>
      <w:r w:rsidR="00AC71B1">
        <w:rPr>
          <w:rFonts w:eastAsiaTheme="minorEastAsia"/>
          <w:lang w:eastAsia="zh-TW"/>
        </w:rPr>
        <w:fldChar w:fldCharType="end"/>
      </w:r>
      <w:r w:rsidR="008F6574">
        <w:rPr>
          <w:rFonts w:eastAsiaTheme="minorEastAsia"/>
          <w:lang w:eastAsia="zh-TW"/>
        </w:rPr>
        <w:t>.</w:t>
      </w:r>
      <w:r w:rsidR="0042639F">
        <w:rPr>
          <w:rFonts w:eastAsiaTheme="minorEastAsia"/>
          <w:lang w:eastAsia="zh-TW"/>
        </w:rPr>
        <w:t xml:space="preserve"> </w:t>
      </w:r>
    </w:p>
    <w:p w:rsidR="0069371C" w:rsidRDefault="0042639F" w:rsidP="0042639F">
      <w:pPr>
        <w:pStyle w:val="IEEEParagraph"/>
        <w:rPr>
          <w:rFonts w:eastAsiaTheme="minorEastAsia"/>
          <w:lang w:eastAsia="zh-TW"/>
        </w:rPr>
      </w:pPr>
      <w:r>
        <w:rPr>
          <w:rFonts w:eastAsiaTheme="minorEastAsia"/>
          <w:lang w:eastAsia="zh-TW"/>
        </w:rPr>
        <w:t>This paper focus on the estimation of wrist angle with the sEMG signal recorded from the forearm. To mi</w:t>
      </w:r>
      <w:r w:rsidR="00BC64D7">
        <w:rPr>
          <w:rFonts w:eastAsiaTheme="minorEastAsia"/>
          <w:lang w:eastAsia="zh-TW"/>
        </w:rPr>
        <w:t xml:space="preserve">tigate the effect of crosstalk, this paper proposed the separation of sEMG signal power with </w:t>
      </w:r>
      <w:r>
        <w:rPr>
          <w:rFonts w:eastAsiaTheme="minorEastAsia"/>
          <w:lang w:eastAsia="zh-TW"/>
        </w:rPr>
        <w:t>two</w:t>
      </w:r>
      <w:r w:rsidR="00092844">
        <w:rPr>
          <w:rFonts w:eastAsiaTheme="minorEastAsia"/>
          <w:lang w:eastAsia="zh-TW"/>
        </w:rPr>
        <w:t xml:space="preserve"> BSS</w:t>
      </w:r>
      <w:r>
        <w:rPr>
          <w:rFonts w:eastAsiaTheme="minorEastAsia"/>
          <w:lang w:eastAsia="zh-TW"/>
        </w:rPr>
        <w:t xml:space="preserve"> methods</w:t>
      </w:r>
      <w:r w:rsidR="006C7E56">
        <w:rPr>
          <w:rFonts w:eastAsiaTheme="minorEastAsia"/>
          <w:lang w:eastAsia="zh-TW"/>
        </w:rPr>
        <w:t>, and compare their results</w:t>
      </w:r>
      <w:r w:rsidR="00092844">
        <w:rPr>
          <w:rFonts w:eastAsiaTheme="minorEastAsia"/>
          <w:lang w:eastAsia="zh-TW"/>
        </w:rPr>
        <w:t>.</w:t>
      </w:r>
    </w:p>
    <w:p w:rsidR="007E0DB3" w:rsidRDefault="007E0DB3" w:rsidP="00685664">
      <w:pPr>
        <w:pStyle w:val="IEEEParagraph"/>
        <w:rPr>
          <w:rFonts w:eastAsiaTheme="minorEastAsia"/>
          <w:lang w:eastAsia="zh-TW"/>
        </w:rPr>
      </w:pPr>
      <w:r>
        <w:rPr>
          <w:rFonts w:eastAsiaTheme="minorEastAsia"/>
          <w:lang w:eastAsia="zh-TW"/>
        </w:rPr>
        <w:t xml:space="preserve">The </w:t>
      </w:r>
      <w:r w:rsidR="004029F4">
        <w:rPr>
          <w:rFonts w:eastAsiaTheme="minorEastAsia"/>
          <w:lang w:eastAsia="zh-TW"/>
        </w:rPr>
        <w:t>two</w:t>
      </w:r>
      <w:r w:rsidR="00685FD8">
        <w:rPr>
          <w:rFonts w:eastAsiaTheme="minorEastAsia" w:hint="eastAsia"/>
          <w:lang w:eastAsia="zh-TW"/>
        </w:rPr>
        <w:t xml:space="preserve"> BSS</w:t>
      </w:r>
      <w:r>
        <w:rPr>
          <w:rFonts w:eastAsiaTheme="minorEastAsia"/>
          <w:lang w:eastAsia="zh-TW"/>
        </w:rPr>
        <w:t xml:space="preserve"> method</w:t>
      </w:r>
      <w:r w:rsidR="004029F4">
        <w:rPr>
          <w:rFonts w:eastAsiaTheme="minorEastAsia"/>
          <w:lang w:eastAsia="zh-TW"/>
        </w:rPr>
        <w:t>s</w:t>
      </w:r>
      <w:r>
        <w:rPr>
          <w:rFonts w:eastAsiaTheme="minorEastAsia"/>
          <w:lang w:eastAsia="zh-TW"/>
        </w:rPr>
        <w:t xml:space="preserve"> </w:t>
      </w:r>
      <w:r w:rsidR="004029F4">
        <w:rPr>
          <w:rFonts w:eastAsiaTheme="minorEastAsia"/>
          <w:lang w:eastAsia="zh-TW"/>
        </w:rPr>
        <w:t>are</w:t>
      </w:r>
      <w:r>
        <w:rPr>
          <w:rFonts w:eastAsiaTheme="minorEastAsia"/>
          <w:lang w:eastAsia="zh-TW"/>
        </w:rPr>
        <w:t xml:space="preserve"> </w:t>
      </w:r>
      <w:r w:rsidR="00BD64E0">
        <w:rPr>
          <w:rFonts w:eastAsiaTheme="minorEastAsia"/>
          <w:lang w:eastAsia="zh-TW"/>
        </w:rPr>
        <w:t>N</w:t>
      </w:r>
      <w:r w:rsidR="00C65496">
        <w:rPr>
          <w:rFonts w:eastAsiaTheme="minorEastAsia"/>
          <w:lang w:eastAsia="zh-TW"/>
        </w:rPr>
        <w:t>on-negative ICA (nICA)</w:t>
      </w:r>
      <w:r w:rsidR="004029F4">
        <w:rPr>
          <w:rFonts w:eastAsiaTheme="minorEastAsia"/>
          <w:lang w:eastAsia="zh-TW"/>
        </w:rPr>
        <w:t xml:space="preserve"> and </w:t>
      </w:r>
      <w:r w:rsidR="00685664" w:rsidRPr="00685664">
        <w:rPr>
          <w:rFonts w:eastAsiaTheme="minorEastAsia"/>
          <w:lang w:eastAsia="zh-TW"/>
        </w:rPr>
        <w:t>Temporal Decorrelation Source Separation</w:t>
      </w:r>
      <w:r w:rsidR="002306FA">
        <w:rPr>
          <w:rFonts w:eastAsiaTheme="minorEastAsia"/>
          <w:lang w:eastAsia="zh-TW"/>
        </w:rPr>
        <w:t xml:space="preserve"> (TDSEP)</w:t>
      </w:r>
      <w:r w:rsidR="00056F3D">
        <w:rPr>
          <w:rFonts w:eastAsiaTheme="minorEastAsia"/>
          <w:lang w:eastAsia="zh-TW"/>
        </w:rPr>
        <w:t>. nICA</w:t>
      </w:r>
      <w:r w:rsidR="00056F3D">
        <w:rPr>
          <w:rFonts w:eastAsiaTheme="minorEastAsia" w:hint="eastAsia"/>
          <w:lang w:eastAsia="zh-TW"/>
        </w:rPr>
        <w:t xml:space="preserve"> </w:t>
      </w:r>
      <w:r w:rsidR="00E3507D">
        <w:rPr>
          <w:rFonts w:eastAsiaTheme="minorEastAsia"/>
          <w:lang w:eastAsia="zh-TW"/>
        </w:rPr>
        <w:t xml:space="preserve">treats the data as a group of data point and </w:t>
      </w:r>
      <w:r w:rsidR="004029F4">
        <w:rPr>
          <w:rFonts w:eastAsiaTheme="minorEastAsia"/>
          <w:lang w:eastAsia="zh-TW"/>
        </w:rPr>
        <w:t>minimize the</w:t>
      </w:r>
      <w:r w:rsidR="00E3507D">
        <w:rPr>
          <w:rFonts w:eastAsiaTheme="minorEastAsia"/>
          <w:lang w:eastAsia="zh-TW"/>
        </w:rPr>
        <w:t xml:space="preserve"> mutual information of the data; TDSEP</w:t>
      </w:r>
      <w:r w:rsidR="00205408">
        <w:rPr>
          <w:rFonts w:eastAsiaTheme="minorEastAsia"/>
          <w:lang w:eastAsia="zh-TW"/>
        </w:rPr>
        <w:t xml:space="preserve"> </w:t>
      </w:r>
      <w:r w:rsidR="008F2BA4" w:rsidRPr="008F2BA4">
        <w:rPr>
          <w:rFonts w:eastAsiaTheme="minorEastAsia"/>
          <w:lang w:eastAsia="zh-TW"/>
        </w:rPr>
        <w:t>decorrelates</w:t>
      </w:r>
      <w:r w:rsidR="008F2BA4">
        <w:rPr>
          <w:rFonts w:eastAsiaTheme="minorEastAsia"/>
          <w:lang w:eastAsia="zh-TW"/>
        </w:rPr>
        <w:t xml:space="preserve"> </w:t>
      </w:r>
      <w:r w:rsidR="003C4591">
        <w:rPr>
          <w:rFonts w:eastAsiaTheme="minorEastAsia"/>
          <w:lang w:eastAsia="zh-TW"/>
        </w:rPr>
        <w:t>multi-channel time series</w:t>
      </w:r>
      <w:r w:rsidR="004B17B8">
        <w:rPr>
          <w:rFonts w:eastAsiaTheme="minorEastAsia"/>
          <w:lang w:eastAsia="zh-TW"/>
        </w:rPr>
        <w:t>, minimizing the correlation</w:t>
      </w:r>
      <w:r w:rsidR="006A25D4">
        <w:rPr>
          <w:rFonts w:eastAsiaTheme="minorEastAsia"/>
          <w:lang w:eastAsia="zh-TW"/>
        </w:rPr>
        <w:t xml:space="preserve"> between </w:t>
      </w:r>
      <w:r w:rsidR="00363D49">
        <w:rPr>
          <w:rFonts w:eastAsiaTheme="minorEastAsia"/>
          <w:lang w:eastAsia="zh-TW"/>
        </w:rPr>
        <w:t>time series.</w:t>
      </w:r>
    </w:p>
    <w:p w:rsidR="007D445F" w:rsidRDefault="007104EF" w:rsidP="007D445F">
      <w:pPr>
        <w:pStyle w:val="IEEEParagraph"/>
        <w:rPr>
          <w:rFonts w:eastAsiaTheme="minorEastAsia"/>
          <w:lang w:eastAsia="zh-TW"/>
        </w:rPr>
      </w:pPr>
      <w:r>
        <w:rPr>
          <w:rFonts w:eastAsiaTheme="minorEastAsia"/>
          <w:lang w:eastAsia="zh-TW"/>
        </w:rPr>
        <w:t>Relationship between sEMG signal and muscle tension is highly non-linear</w:t>
      </w:r>
      <w:r>
        <w:rPr>
          <w:rFonts w:eastAsiaTheme="minorEastAsia"/>
          <w:lang w:eastAsia="zh-TW"/>
        </w:rPr>
        <w:fldChar w:fldCharType="begin"/>
      </w:r>
      <w:r>
        <w:rPr>
          <w:rFonts w:eastAsiaTheme="minorEastAsia"/>
          <w:lang w:eastAsia="zh-TW"/>
        </w:rPr>
        <w:instrText xml:space="preserve"> ADDIN ZOTERO_ITEM CSL_CITATION {"citationID":"u5mrLy1F","properties":{"formattedCitation":"[14]","plainCitation":"[14]","noteIndex":0},"citationItems":[{"id":465,"uris":["http://zotero.org/users/local/l5zLMfmU/items/QPL4BQVX"],"uri":["http://zotero.org/users/local/l5zLMfmU/items/QPL4BQVX"],"itemData":{"id":465,"type":"book","title":"Electromyography: Physiology, Engineering, and Non-Invasive Applications","publisher":"Wiley-IEEE Press","author":[{"literal":"Roberto Merletti"},{"literal":"Philip J. Parker"}],"issued":{"date-parts":[["2004"]]}}}],"schema":"https://github.com/citation-style-language/schema/raw/master/csl-citation.json"} </w:instrText>
      </w:r>
      <w:r>
        <w:rPr>
          <w:rFonts w:eastAsiaTheme="minorEastAsia"/>
          <w:lang w:eastAsia="zh-TW"/>
        </w:rPr>
        <w:fldChar w:fldCharType="separate"/>
      </w:r>
      <w:r w:rsidRPr="007104EF">
        <w:t>[14]</w:t>
      </w:r>
      <w:r>
        <w:rPr>
          <w:rFonts w:eastAsiaTheme="minorEastAsia"/>
          <w:lang w:eastAsia="zh-TW"/>
        </w:rPr>
        <w:fldChar w:fldCharType="end"/>
      </w:r>
      <w:r>
        <w:rPr>
          <w:rFonts w:eastAsiaTheme="minorEastAsia"/>
          <w:lang w:eastAsia="zh-TW"/>
        </w:rPr>
        <w:t xml:space="preserve">. Neural networks are utilized in previous </w:t>
      </w:r>
      <w:r>
        <w:rPr>
          <w:rFonts w:eastAsiaTheme="minorEastAsia"/>
          <w:lang w:eastAsia="zh-TW"/>
        </w:rPr>
        <w:lastRenderedPageBreak/>
        <w:t>research</w:t>
      </w:r>
      <w:r w:rsidR="000955A3">
        <w:rPr>
          <w:rFonts w:eastAsiaTheme="minorEastAsia"/>
          <w:lang w:eastAsia="zh-TW"/>
        </w:rPr>
        <w:t xml:space="preserve"> to model the non-linear relationship</w:t>
      </w:r>
      <w:r w:rsidR="000955A3">
        <w:rPr>
          <w:rFonts w:eastAsiaTheme="minorEastAsia"/>
          <w:lang w:eastAsia="zh-TW"/>
        </w:rPr>
        <w:fldChar w:fldCharType="begin"/>
      </w:r>
      <w:r w:rsidR="000955A3">
        <w:rPr>
          <w:rFonts w:eastAsiaTheme="minorEastAsia"/>
          <w:lang w:eastAsia="zh-TW"/>
        </w:rPr>
        <w:instrText xml:space="preserve"> ADDIN ZOTERO_ITEM CSL_CITATION {"citationID":"vRd33gci","properties":{"formattedCitation":"[5], [8], [15]\\uc0\\u8211{}[19]","plainCitation":"[5], [8], [15]–[19]","noteIndex":0},"citationItems":[{"id":"HpTQ1ta1/BQ4r8LmB","uris":["http://zotero.org/users/local/Jg4Thzek/items/HU9YF75C"],"uri":["http://zotero.org/users/local/Jg4Thzek/items/HU9YF75C"],"itemData":{"id":"HpTQ1ta1/BQ4r8LmB","type":"article-journal","title":"Surface EMG in Advanced Hand Prosthetics","container-title":"Biological Cybernetics","page":"35-47","volume":"100","issue":"1","source":"PubMed","abstract":"One of the major problems when dealing with highly dexterous, active hand prostheses is their control by the patient wearing them. With the advances in mechatronics, building prosthetic hands with multiple active degrees of freedom is realisable, but actively controlling the position and especially the exerted force of each finger cannot yet be done naturally. This paper deals with advanced robotic hand control via surface electromyography. Building upon recent results, we show that machine learning, together with a simple downsampling algorithm, can be effectively used to control on-line, in real time, finger position as well as finger force of a highly dexterous robotic hand. The system determines the type of grasp a human subject is willing to use, and the required amount of force involved, with a high degree of accuracy. This represents a remarkable improvement with respect to the state-of-the-art of feed-forward control of dexterous mechanical hands, and opens up a scenario in which amputees will be able to control hand prostheses in a much finer way than it has so far been possible.","DOI":"10.1007/s00422-008-0278-1","ISSN":"1432-0770","note":"PMID: 19015872","journalAbbreviation":"Biol Cybern","language":"eng","author":[{"family":"Castellini","given":"Claudio"},{"family":"Smagt","given":"Patrick","non-dropping-particle":"van der"}],"issued":{"date-parts":[["2009",1]]}}},{"id":"HpTQ1ta1/sdQByIB6","uris":["http://zotero.org/users/local/Jg4Thzek/items/4JJQ5PMF"],"uri":["http://zotero.org/users/local/Jg4Thzek/items/4JJQ5PMF"],"itemData":{"id":"HpTQ1ta1/sdQByIB6","type":"article-journal","title":"Simultaneous and Proportional Force Estimation for Multifunction Myoelectric Prostheses Using Mirrored Bilateral Training","container-title":"IEEE Transactions on Biomedical Engineering","page":"681-688","volume":"58","issue":"3","source":"Crossref","DOI":"10.1109/TBME.2010.2068298","ISSN":"0018-9294, 1558-2531","author":[{"family":"Nielsen","given":"Johnny L G"},{"family":"Holmgaard","given":"S"},{"literal":"Ning Jiang"},{"family":"Englehart","given":"K B"},{"family":"Farina","given":"D"},{"family":"Parker","given":"P A"}],"issued":{"date-parts":[["2011",3]]}}},{"id":355,"uris":["http://zotero.org/users/local/l5zLMfmU/items/HJBB5DKH"],"uri":["http://zotero.org/users/local/l5zLMfmU/items/HJBB5DKH"],"itemData":{"id":355,"type":"article-journal","title":"EMG-Based Simultaneous and Proportional Estimation of Wrist/Hand Kinematics in Uni-Lateral Trans-Radial Amputees","container-title":"Journal of NeuroEngineering and Rehabilitation","page":"42","volume":"9","issue":"1","source":"BioMed Central","abstract":"We propose a method for estimating wrist kinematics during dynamic wrist contractions from multi-channel surface electromyography (EMG). The algorithm extracts features from the surface EMG and uses dedicated multi-layer perceptron networks to estimate individual joint angles of the 3 degrees of freedom (DoFs) of the wrist. The method was designed with the aim of proportional and simultaneous control of multiple DoFs of active prostheses by unilateral amputees. Therefore, the proposed approach was tested in both unilateral transradial amputees and in intact-limbed control subjects. It was shown that the joint angles at the 3 DoFs of amputees can be estimated from surface EMG recordings , during mirrored bi-lateral contractions that simultaneously and proportionally articulated the 3 DoFs. The estimation accuracies of amputee subjects with long stumps were 62.5% ± 8.50% across all 3 DoFs, while accuracies of the intact-limbed control subjects were 72.0% ± 8.29%. The estimation results from intact-limbed subjects were consistent with earlier studies. The results from the current study demonstrated the feasibility of the proposed myoelectric control approach to provide a more intuitive myoelectric control strategy for unilateral transradial amputees.","DOI":"10.1186/1743-0003-9-42","ISSN":"1743-0003","journalAbbreviation":"Journal of NeuroEngineering and Rehabilitation","author":[{"family":"Jiang","given":"Ning"},{"family":"Vest-Nielsen","given":"Johnny LG"},{"family":"Muceli","given":"Silvia"},{"family":"Farina","given":"Dario"}],"issued":{"date-parts":[["2012",6,28]]}}},{"id":364,"uris":["http://zotero.org/users/local/l5zLMfmU/items/VJF2PBL3"],"uri":["http://zotero.org/users/local/l5zLMfmU/items/VJF2PBL3"],"itemData":{"id":364,"type":"article-journal","title":"Quantifying Forearm Muscle Activity during Wrist and Finger Movements by Means of Multi-Channel Electromyography","container-title":"PLoS ONE","volume":"9","issue":"10","source":"PubMed Central","abstract":"The study of hand and finger movement is an important topic with applications in prosthetics, rehabilitation, and ergonomics. Surface electromyography (sEMG) is the gold standard for the analysis of muscle activation. Previous studies investigated the optimal electrode number and positioning on the forearm to obtain information representative of muscle activation and robust to movements. However, the sEMG spatial distribution on the forearm during hand and finger movements and its changes due to different hand positions has never been quantified. The aim of this work is to quantify 1) the spatial localization of surface EMG activity of distinct forearm muscles during dynamic free movements of wrist and single fingers and 2) the effect of hand position on sEMG activity distribution. The subjects performed cyclic dynamic tasks involving the wrist and the fingers. The wrist tasks and the hand opening/closing task were performed with the hand in prone and neutral positions. A sensorized glove was used for kinematics recording. sEMG signals were acquired from the forearm muscles using a grid of 112 electrodes integrated into a stretchable textile sleeve. The areas of sEMG activity have been identified by a segmentation technique after a data dimensionality reduction step based on Non Negative Matrix Factorization applied to the EMG envelopes. The results show that 1) it is possible to identify distinct areas of sEMG activity on the forearm for different fingers; 2) hand position influences sEMG activity level and spatial distribution. This work gives new quantitative information about sEMG activity distribution on the forearm in healthy subjects and provides a basis for future works on the identification of optimal electrode configuration for sEMG based control of prostheses, exoskeletons, or orthoses. An example of use of this information for the optimization of the detection system for the estimation of joint kinematics from sEMG is reported.","URL":"https://www.ncbi.nlm.nih.gov/pmc/articles/PMC4188712/","DOI":"10.1371/journal.pone.0109943","ISSN":"1932-6203","note":"PMID: 25289669\nPMCID: PMC4188712","journalAbbreviation":"PLoS One","author":[{"family":"Gazzoni","given":"Marco"},{"family":"Celadon","given":"Nicolò"},{"family":"Mastrapasqua","given":"Davide"},{"family":"Paleari","given":"Marco"},{"family":"Margaria","given":"Valentina"},{"family":"Ariano","given":"Paolo"}],"issued":{"date-parts":[["2014",10,7]]},"accessed":{"date-parts":[["2018",10,21]]}}},{"id":351,"uris":["http://zotero.org/users/local/l5zLMfmU/items/ALE4VSNM"],"uri":["http://zotero.org/users/local/l5zLMfmU/items/ALE4VSNM"],"itemData":{"id":351,"type":"article-journal","title":"A New Strategy for Multifunction Myoelectric Control","container-title":"IEEE Transactions on Biomedical Engineering","page":"82-94","volume":"40","issue":"1","source":"Crossref","DOI":"10.1109/10.204774","ISSN":"00189294","author":[{"family":"Hudgins","given":"B."},{"family":"Parker","given":"P."},{"family":"Scott","given":"R.N."}],"issued":{"date-parts":[["1993",1]]}}},{"id":360,"uris":["http://zotero.org/users/local/l5zLMfmU/items/EELH6CGX"],"uri":["http://zotero.org/users/local/l5zLMfmU/items/EELH6CGX"],"itemData":{"id":360,"type":"article-journal","title":"Bayesian Filtering of Surface EMG for Accurate Simultaneous and Proportional Prosthetic Control","container-title":"IEEE Transactions on Neural Systems and Rehabilitation Engineering","page":"1333-1341","volume":"24","issue":"12","source":"Crossref","DOI":"10.1109/TNSRE.2015.2501979","ISSN":"1534-4320, 1558-0210","author":[{"family":"Hofmann","given":"David"},{"family":"Jiang","given":"Ning"},{"family":"Vujaklija","given":"Ivan"},{"family":"Farina","given":"Dario"}],"issued":{"date-parts":[["2016",12]]}}},{"id":373,"uris":["http://zotero.org/users/local/l5zLMfmU/items/4S8KKGEG"],"uri":["http://zotero.org/users/local/l5zLMfmU/items/4S8KKGEG"],"itemData":{"id":373,"type":"paper-conference","title":"EMG-Based Learning Approach for Estimating Wrist Motion","container-title":"2015 37th Annual International Conference of the IEEE Engineering in Medicine and Biology Society (EMBC)","publisher":"IEEE","publisher-place":"Milan","page":"6732-6735","event":"2015 37th Annual International Conference of the IEEE Engineering in Medicine and Biology Society (EMBC)","event-place":"Milan","URL":"http://ieeexplore.ieee.org/document/7319938/","DOI":"10.1109/EMBC.2015.7319938","ISBN":"978-1-4244-9271-8","author":[{"family":"El-Khoury","given":"S."},{"family":"Batzianoulis","given":"I."},{"family":"Antuvan","given":"C. W."},{"family":"Contu","given":"S."},{"family":"Masia","given":"L."},{"family":"Micera","given":"S."},{"family":"Billard","given":"A."}],"issued":{"date-parts":[["2015",8]]},"accessed":{"date-parts":[["2018",10,21]]}}}],"schema":"https://github.com/citation-style-language/schema/raw/master/csl-citation.json"} </w:instrText>
      </w:r>
      <w:r w:rsidR="000955A3">
        <w:rPr>
          <w:rFonts w:eastAsiaTheme="minorEastAsia"/>
          <w:lang w:eastAsia="zh-TW"/>
        </w:rPr>
        <w:fldChar w:fldCharType="separate"/>
      </w:r>
      <w:r w:rsidR="000955A3" w:rsidRPr="00E77A98">
        <w:t>[5], [8], [15]–[19]</w:t>
      </w:r>
      <w:r w:rsidR="000955A3">
        <w:rPr>
          <w:rFonts w:eastAsiaTheme="minorEastAsia"/>
          <w:lang w:eastAsia="zh-TW"/>
        </w:rPr>
        <w:fldChar w:fldCharType="end"/>
      </w:r>
      <w:r w:rsidR="000955A3">
        <w:rPr>
          <w:rFonts w:eastAsiaTheme="minorEastAsia"/>
          <w:lang w:eastAsia="zh-TW"/>
        </w:rPr>
        <w:t xml:space="preserve">. </w:t>
      </w:r>
      <w:r w:rsidR="001B6864">
        <w:rPr>
          <w:rFonts w:eastAsiaTheme="minorEastAsia"/>
          <w:lang w:eastAsia="zh-TW"/>
        </w:rPr>
        <w:t xml:space="preserve">In this </w:t>
      </w:r>
      <w:r w:rsidR="00B22214">
        <w:rPr>
          <w:rFonts w:eastAsiaTheme="minorEastAsia" w:hint="eastAsia"/>
          <w:lang w:eastAsia="zh-TW"/>
        </w:rPr>
        <w:t xml:space="preserve">thesis, </w:t>
      </w:r>
      <w:r w:rsidR="004D6A2A" w:rsidRPr="004D6A2A">
        <w:rPr>
          <w:rFonts w:eastAsiaTheme="minorEastAsia"/>
          <w:lang w:eastAsia="zh-TW"/>
        </w:rPr>
        <w:t>Long Short</w:t>
      </w:r>
      <w:r w:rsidR="004D6A2A">
        <w:rPr>
          <w:rFonts w:eastAsiaTheme="minorEastAsia"/>
          <w:lang w:eastAsia="zh-TW"/>
        </w:rPr>
        <w:t xml:space="preserve"> </w:t>
      </w:r>
      <w:r w:rsidR="004D6A2A" w:rsidRPr="004D6A2A">
        <w:rPr>
          <w:rFonts w:eastAsiaTheme="minorEastAsia"/>
          <w:lang w:eastAsia="zh-TW"/>
        </w:rPr>
        <w:t>Term Memor</w:t>
      </w:r>
      <w:r w:rsidR="004D6A2A">
        <w:rPr>
          <w:rFonts w:eastAsiaTheme="minorEastAsia"/>
          <w:lang w:eastAsia="zh-TW"/>
        </w:rPr>
        <w:t>y (LSTM) is used to estimate the wrist angle. LSTM is a type of Recurrent Neural Network (RNN)</w:t>
      </w:r>
      <w:r w:rsidR="000D4146">
        <w:rPr>
          <w:rFonts w:eastAsiaTheme="minorEastAsia"/>
          <w:lang w:eastAsia="zh-TW"/>
        </w:rPr>
        <w:t xml:space="preserve"> that includes internal memory cell inside the network. The internal memory can help LSTM model</w:t>
      </w:r>
      <w:r w:rsidR="007D445F">
        <w:rPr>
          <w:rFonts w:eastAsiaTheme="minorEastAsia"/>
          <w:lang w:eastAsia="zh-TW"/>
        </w:rPr>
        <w:t xml:space="preserve"> time series, which made it suitable for wrist angle</w:t>
      </w:r>
      <w:r w:rsidR="00B1242C">
        <w:rPr>
          <w:rFonts w:eastAsiaTheme="minorEastAsia"/>
          <w:lang w:eastAsia="zh-TW"/>
        </w:rPr>
        <w:t xml:space="preserve"> estimation.</w:t>
      </w:r>
    </w:p>
    <w:p w:rsidR="00B1242C" w:rsidRDefault="00B1242C" w:rsidP="007D445F">
      <w:pPr>
        <w:pStyle w:val="IEEEParagraph"/>
        <w:rPr>
          <w:rFonts w:eastAsiaTheme="minorEastAsia"/>
          <w:lang w:eastAsia="zh-TW"/>
        </w:rPr>
      </w:pPr>
    </w:p>
    <w:p w:rsidR="007851F8" w:rsidRDefault="008470D3">
      <w:pPr>
        <w:pStyle w:val="IEEEHeading1"/>
        <w:ind w:left="288" w:hanging="288"/>
      </w:pPr>
      <w:r>
        <w:t>Methodology</w:t>
      </w:r>
    </w:p>
    <w:p w:rsidR="007851F8" w:rsidRDefault="004D2911">
      <w:pPr>
        <w:pStyle w:val="IEEEHeading2"/>
        <w:ind w:left="288" w:hanging="288"/>
      </w:pPr>
      <w:r>
        <w:t>sEMG Signal Feature</w:t>
      </w:r>
    </w:p>
    <w:p w:rsidR="004D2911" w:rsidRDefault="004D2911" w:rsidP="004D2911">
      <w:pPr>
        <w:pStyle w:val="IEEEParagraph"/>
      </w:pPr>
      <w:r>
        <w:t>In this thesis,</w:t>
      </w:r>
      <w:r w:rsidR="00EF64CE">
        <w:t xml:space="preserve"> </w:t>
      </w:r>
      <w:r w:rsidR="00417929">
        <w:t>w</w:t>
      </w:r>
      <w:r w:rsidR="00EF64CE">
        <w:t>indowed</w:t>
      </w:r>
      <w:r>
        <w:t xml:space="preserve"> </w:t>
      </w:r>
      <w:r w:rsidR="00F566E9">
        <w:t>Root Mean Square</w:t>
      </w:r>
      <w:r w:rsidR="00F566E9">
        <w:rPr>
          <w:rFonts w:asciiTheme="minorEastAsia" w:eastAsiaTheme="minorEastAsia" w:hAnsiTheme="minorEastAsia" w:hint="eastAsia"/>
          <w:lang w:eastAsia="zh-TW"/>
        </w:rPr>
        <w:t xml:space="preserve"> (</w:t>
      </w:r>
      <w:r>
        <w:t>RMS</w:t>
      </w:r>
      <w:r w:rsidR="00F566E9">
        <w:rPr>
          <w:rFonts w:asciiTheme="minorEastAsia" w:eastAsiaTheme="minorEastAsia" w:hAnsiTheme="minorEastAsia" w:hint="eastAsia"/>
          <w:lang w:eastAsia="zh-TW"/>
        </w:rPr>
        <w:t>)</w:t>
      </w:r>
      <w:r>
        <w:t xml:space="preserve"> </w:t>
      </w:r>
      <w:r w:rsidR="00754D96">
        <w:t xml:space="preserve">is used </w:t>
      </w:r>
      <w:r w:rsidR="00E56977">
        <w:t xml:space="preserve">as the feature for wrist angle estimation. </w:t>
      </w:r>
      <w:r>
        <w:t xml:space="preserve">RMS </w:t>
      </w:r>
      <w:r w:rsidR="000F148B">
        <w:t xml:space="preserve">can </w:t>
      </w:r>
      <w:r w:rsidR="00380B24">
        <w:t>be used to extract signal power.</w:t>
      </w:r>
      <w:r w:rsidR="000F148B">
        <w:t xml:space="preserve"> RMS </w:t>
      </w:r>
      <w:r>
        <w:t xml:space="preserve">of sEMG signal </w:t>
      </w:r>
      <w:r w:rsidR="005B2D41">
        <w:t xml:space="preserve">represents </w:t>
      </w:r>
      <w:r w:rsidR="00E56977">
        <w:t>the muscle activity</w:t>
      </w:r>
      <w:r w:rsidR="00380B24">
        <w:t>,</w:t>
      </w:r>
      <w:r w:rsidR="00E56977">
        <w:t xml:space="preserve"> </w:t>
      </w:r>
      <w:r w:rsidR="00380B24">
        <w:t xml:space="preserve">and is calculated </w:t>
      </w:r>
      <w:r w:rsidR="005B2D41">
        <w:t>using the following formula.</w:t>
      </w:r>
    </w:p>
    <w:tbl>
      <w:tblPr>
        <w:tblStyle w:val="TableGrid"/>
        <w:tblW w:w="0" w:type="auto"/>
        <w:tblLook w:val="04A0" w:firstRow="1" w:lastRow="0" w:firstColumn="1" w:lastColumn="0" w:noHBand="0" w:noVBand="1"/>
      </w:tblPr>
      <w:tblGrid>
        <w:gridCol w:w="4315"/>
        <w:gridCol w:w="717"/>
      </w:tblGrid>
      <w:tr w:rsidR="003E0409" w:rsidTr="006703BB">
        <w:tc>
          <w:tcPr>
            <w:tcW w:w="4315" w:type="dxa"/>
            <w:vAlign w:val="center"/>
          </w:tcPr>
          <w:p w:rsidR="003E0409" w:rsidRDefault="00DB200D" w:rsidP="004D2911">
            <w:pPr>
              <w:pStyle w:val="IEEEParagraph"/>
              <w:ind w:firstLine="0"/>
            </w:pPr>
            <m:oMathPara>
              <m:oMath>
                <m:sSub>
                  <m:sSubPr>
                    <m:ctrlPr>
                      <w:rPr>
                        <w:rFonts w:ascii="Cambria Math" w:hAnsi="Cambria Math"/>
                      </w:rPr>
                    </m:ctrlPr>
                  </m:sSubPr>
                  <m:e>
                    <m:r>
                      <m:rPr>
                        <m:sty m:val="p"/>
                      </m:rPr>
                      <w:rPr>
                        <w:rFonts w:ascii="Cambria Math" w:hAnsi="Cambria Math" w:hint="eastAsia"/>
                      </w:rPr>
                      <m:t>RMS</m:t>
                    </m:r>
                    <m:ctrlPr>
                      <w:rPr>
                        <w:rFonts w:ascii="Cambria Math" w:hAnsi="Cambria Math" w:hint="eastAsia"/>
                      </w:rPr>
                    </m:ctrlPr>
                  </m:e>
                  <m:sub>
                    <m:r>
                      <m:rPr>
                        <m:sty m:val="p"/>
                      </m:rPr>
                      <w:rPr>
                        <w:rFonts w:ascii="Cambria Math" w:hAnsi="Cambria Math"/>
                      </w:rPr>
                      <m:t>t</m:t>
                    </m:r>
                  </m:sub>
                </m:sSub>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grow m:val="1"/>
                        <m:ctrlPr>
                          <w:rPr>
                            <w:rFonts w:ascii="Cambria Math" w:hAnsi="Cambria Math"/>
                          </w:rPr>
                        </m:ctrlPr>
                      </m:naryPr>
                      <m:sub>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r>
                          <w:rPr>
                            <w:rFonts w:ascii="Cambria Math" w:hAnsi="Cambria Math"/>
                          </w:rPr>
                          <m:t>N</m:t>
                        </m:r>
                        <m:r>
                          <m:rPr>
                            <m:sty m:val="p"/>
                          </m:rPr>
                          <w:rPr>
                            <w:rFonts w:ascii="Cambria Math" w:hAnsi="Cambria Math"/>
                          </w:rPr>
                          <m:t>-1</m:t>
                        </m:r>
                      </m:sup>
                      <m:e>
                        <m:sSup>
                          <m:sSupPr>
                            <m:ctrlPr>
                              <w:rPr>
                                <w:rFonts w:ascii="Cambria Math" w:hAnsi="Cambria Math"/>
                                <w:i/>
                              </w:rPr>
                            </m:ctrlPr>
                          </m:sSupPr>
                          <m:e>
                            <m:sSub>
                              <m:sSubPr>
                                <m:ctrlPr>
                                  <w:rPr>
                                    <w:rFonts w:ascii="Cambria Math" w:hAnsi="Cambria Math"/>
                                  </w:rPr>
                                </m:ctrlPr>
                              </m:sSubPr>
                              <m:e>
                                <m:r>
                                  <w:rPr>
                                    <w:rFonts w:ascii="Cambria Math" w:hAnsi="Cambria Math"/>
                                  </w:rPr>
                                  <m:t>x</m:t>
                                </m:r>
                              </m:e>
                              <m:sub>
                                <m:r>
                                  <w:rPr>
                                    <w:rFonts w:ascii="Cambria Math" w:hAnsi="Cambria Math"/>
                                  </w:rPr>
                                  <m:t>t</m:t>
                                </m:r>
                              </m:sub>
                            </m:sSub>
                          </m:e>
                          <m:sup>
                            <m:r>
                              <w:rPr>
                                <w:rFonts w:ascii="Cambria Math" w:hAnsi="Cambria Math"/>
                              </w:rPr>
                              <m:t>2</m:t>
                            </m:r>
                          </m:sup>
                        </m:sSup>
                      </m:e>
                    </m:nary>
                  </m:e>
                </m:rad>
              </m:oMath>
            </m:oMathPara>
          </w:p>
        </w:tc>
        <w:tc>
          <w:tcPr>
            <w:tcW w:w="717" w:type="dxa"/>
            <w:vAlign w:val="center"/>
          </w:tcPr>
          <w:p w:rsidR="003E0409" w:rsidRDefault="003E0409" w:rsidP="003E0409">
            <w:pPr>
              <w:pStyle w:val="IEEEParagraph"/>
              <w:ind w:firstLine="0"/>
              <w:jc w:val="right"/>
            </w:pPr>
            <w:r>
              <w:t>(</w:t>
            </w:r>
            <w:r>
              <w:fldChar w:fldCharType="begin"/>
            </w:r>
            <w:r>
              <w:instrText xml:space="preserve"> SEQ Equation \* ARABIC </w:instrText>
            </w:r>
            <w:r>
              <w:fldChar w:fldCharType="separate"/>
            </w:r>
            <w:r>
              <w:rPr>
                <w:noProof/>
              </w:rPr>
              <w:t>1</w:t>
            </w:r>
            <w:r>
              <w:fldChar w:fldCharType="end"/>
            </w:r>
            <w:r>
              <w:t>)</w:t>
            </w:r>
          </w:p>
        </w:tc>
      </w:tr>
    </w:tbl>
    <w:p w:rsidR="005B2D41" w:rsidRDefault="005B2D41" w:rsidP="004D2911">
      <w:pPr>
        <w:pStyle w:val="IEEEParagraph"/>
      </w:pPr>
    </w:p>
    <w:p w:rsidR="00E37DAA" w:rsidRDefault="006703BB" w:rsidP="00E37DAA">
      <w:pPr>
        <w:pStyle w:val="IEEEParagraph"/>
      </w:pPr>
      <w:r>
        <w:t>Where</w:t>
      </w:r>
      <w:r w:rsidR="00EB1C3A">
        <w:t xml:space="preserve"> </w:t>
      </w:r>
      <m:oMath>
        <m:r>
          <w:rPr>
            <w:rFonts w:ascii="Cambria Math" w:hAnsi="Cambria Math"/>
          </w:rPr>
          <m:t>x</m:t>
        </m:r>
      </m:oMath>
      <w:r w:rsidR="00EB1C3A">
        <w:t xml:space="preserve"> is the </w:t>
      </w:r>
      <w:r w:rsidR="0049763C">
        <w:t xml:space="preserve">sEMG </w:t>
      </w:r>
      <w:r w:rsidR="00EB1C3A">
        <w:t xml:space="preserve">recording </w:t>
      </w:r>
      <w:r w:rsidR="0049763C">
        <w:t xml:space="preserve">at time </w:t>
      </w:r>
      <m:oMath>
        <m:r>
          <w:rPr>
            <w:rFonts w:ascii="Cambria Math" w:hAnsi="Cambria Math"/>
          </w:rPr>
          <m:t>t</m:t>
        </m:r>
      </m:oMath>
      <w:r w:rsidR="00BC5E75">
        <w:t xml:space="preserve">, and </w:t>
      </w:r>
      <m:oMath>
        <m:r>
          <w:rPr>
            <w:rFonts w:ascii="Cambria Math" w:hAnsi="Cambria Math"/>
          </w:rPr>
          <m:t>N</m:t>
        </m:r>
      </m:oMath>
      <w:r w:rsidR="00042521">
        <w:t xml:space="preserve"> is the number of sample point in 200 milliseconds. </w:t>
      </w:r>
      <w:r w:rsidR="00ED142D">
        <w:t>Th</w:t>
      </w:r>
      <w:r w:rsidR="00ED328F">
        <w:t>e result of windowed RMS is shown in</w:t>
      </w:r>
    </w:p>
    <w:tbl>
      <w:tblPr>
        <w:tblStyle w:val="TableGrid"/>
        <w:tblW w:w="0" w:type="auto"/>
        <w:jc w:val="center"/>
        <w:tblLook w:val="04A0" w:firstRow="1" w:lastRow="0" w:firstColumn="1" w:lastColumn="0" w:noHBand="0" w:noVBand="1"/>
      </w:tblPr>
      <w:tblGrid>
        <w:gridCol w:w="5032"/>
      </w:tblGrid>
      <w:tr w:rsidR="00943742" w:rsidTr="00943742">
        <w:trPr>
          <w:jc w:val="center"/>
        </w:trPr>
        <w:tc>
          <w:tcPr>
            <w:tcW w:w="5032" w:type="dxa"/>
            <w:vAlign w:val="center"/>
          </w:tcPr>
          <w:p w:rsidR="00943742" w:rsidRDefault="00A16859" w:rsidP="00943742">
            <w:pPr>
              <w:pStyle w:val="IEEEParagraph"/>
              <w:ind w:firstLine="0"/>
              <w:jc w:val="center"/>
            </w:pPr>
            <w:r w:rsidRPr="00A16859">
              <w:rPr>
                <w:noProof/>
                <w:lang w:val="en-US" w:eastAsia="zh-TW"/>
              </w:rPr>
              <w:drawing>
                <wp:inline distT="0" distB="0" distL="0" distR="0">
                  <wp:extent cx="2714135" cy="1738666"/>
                  <wp:effectExtent l="0" t="0" r="0" b="0"/>
                  <wp:docPr id="5" name="Picture 5" descr="E:\Ubuntu\sEMG\Paper\pic\wR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buntu\sEMG\Paper\pic\wRM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0429" cy="1742698"/>
                          </a:xfrm>
                          <a:prstGeom prst="rect">
                            <a:avLst/>
                          </a:prstGeom>
                          <a:noFill/>
                          <a:ln>
                            <a:noFill/>
                          </a:ln>
                        </pic:spPr>
                      </pic:pic>
                    </a:graphicData>
                  </a:graphic>
                </wp:inline>
              </w:drawing>
            </w:r>
          </w:p>
        </w:tc>
      </w:tr>
      <w:tr w:rsidR="00943742" w:rsidTr="00943742">
        <w:trPr>
          <w:jc w:val="center"/>
        </w:trPr>
        <w:tc>
          <w:tcPr>
            <w:tcW w:w="5032" w:type="dxa"/>
            <w:vAlign w:val="center"/>
          </w:tcPr>
          <w:p w:rsidR="00C919B3" w:rsidRDefault="00943742" w:rsidP="00C919B3">
            <w:pPr>
              <w:pStyle w:val="Caption"/>
              <w:spacing w:before="0" w:after="0"/>
              <w:jc w:val="center"/>
              <w:rPr>
                <w:b w:val="0"/>
                <w:bCs w:val="0"/>
                <w:sz w:val="16"/>
                <w:szCs w:val="24"/>
              </w:rPr>
            </w:pPr>
            <w:r w:rsidRPr="009024B6">
              <w:rPr>
                <w:b w:val="0"/>
                <w:bCs w:val="0"/>
                <w:sz w:val="16"/>
                <w:szCs w:val="24"/>
              </w:rPr>
              <w:t xml:space="preserve">Fig. </w:t>
            </w:r>
            <w:r w:rsidRPr="009024B6">
              <w:rPr>
                <w:b w:val="0"/>
                <w:bCs w:val="0"/>
                <w:sz w:val="16"/>
                <w:szCs w:val="24"/>
              </w:rPr>
              <w:fldChar w:fldCharType="begin"/>
            </w:r>
            <w:r w:rsidRPr="009024B6">
              <w:rPr>
                <w:b w:val="0"/>
                <w:bCs w:val="0"/>
                <w:sz w:val="16"/>
                <w:szCs w:val="24"/>
              </w:rPr>
              <w:instrText xml:space="preserve"> SEQ Fig. \* ARABIC </w:instrText>
            </w:r>
            <w:r w:rsidRPr="009024B6">
              <w:rPr>
                <w:b w:val="0"/>
                <w:bCs w:val="0"/>
                <w:sz w:val="16"/>
                <w:szCs w:val="24"/>
              </w:rPr>
              <w:fldChar w:fldCharType="separate"/>
            </w:r>
            <w:r w:rsidRPr="009024B6">
              <w:rPr>
                <w:b w:val="0"/>
                <w:bCs w:val="0"/>
                <w:sz w:val="16"/>
                <w:szCs w:val="24"/>
              </w:rPr>
              <w:t>1</w:t>
            </w:r>
            <w:r w:rsidRPr="009024B6">
              <w:rPr>
                <w:b w:val="0"/>
                <w:bCs w:val="0"/>
                <w:sz w:val="16"/>
                <w:szCs w:val="24"/>
              </w:rPr>
              <w:fldChar w:fldCharType="end"/>
            </w:r>
            <w:r w:rsidR="009024B6">
              <w:rPr>
                <w:b w:val="0"/>
                <w:bCs w:val="0"/>
                <w:sz w:val="16"/>
                <w:szCs w:val="24"/>
              </w:rPr>
              <w:t xml:space="preserve"> Windowed RMS of  sEMG</w:t>
            </w:r>
            <w:r w:rsidR="00A16859">
              <w:rPr>
                <w:b w:val="0"/>
                <w:bCs w:val="0"/>
                <w:sz w:val="16"/>
                <w:szCs w:val="24"/>
              </w:rPr>
              <w:t xml:space="preserve"> </w:t>
            </w:r>
          </w:p>
          <w:p w:rsidR="00943742" w:rsidRPr="00943742" w:rsidRDefault="00A16859" w:rsidP="00C919B3">
            <w:pPr>
              <w:pStyle w:val="Caption"/>
              <w:spacing w:before="0" w:after="0"/>
              <w:jc w:val="center"/>
              <w:rPr>
                <w:b w:val="0"/>
                <w:bCs w:val="0"/>
                <w:szCs w:val="24"/>
              </w:rPr>
            </w:pPr>
            <w:r>
              <w:rPr>
                <w:b w:val="0"/>
                <w:bCs w:val="0"/>
                <w:sz w:val="16"/>
                <w:szCs w:val="24"/>
              </w:rPr>
              <w:t>(a) raw sEMG signal (b) windowed RMS sEMG signal</w:t>
            </w:r>
            <w:bookmarkStart w:id="0" w:name="_GoBack"/>
            <w:bookmarkEnd w:id="0"/>
          </w:p>
        </w:tc>
      </w:tr>
    </w:tbl>
    <w:p w:rsidR="00943742" w:rsidRDefault="00943742" w:rsidP="00E37DAA">
      <w:pPr>
        <w:pStyle w:val="IEEEParagraph"/>
      </w:pPr>
    </w:p>
    <w:p w:rsidR="00ED142D" w:rsidRDefault="00ED142D" w:rsidP="00E37DAA">
      <w:pPr>
        <w:pStyle w:val="IEEEParagraph"/>
      </w:pPr>
    </w:p>
    <w:p w:rsidR="00ED142D" w:rsidRDefault="00ED142D" w:rsidP="000E705A">
      <w:pPr>
        <w:pStyle w:val="IEEEParagraph"/>
        <w:jc w:val="center"/>
      </w:pPr>
    </w:p>
    <w:p w:rsidR="00943742" w:rsidRDefault="00943742" w:rsidP="000E705A">
      <w:pPr>
        <w:pStyle w:val="IEEEParagraph"/>
        <w:jc w:val="center"/>
      </w:pPr>
    </w:p>
    <w:p w:rsidR="00ED142D" w:rsidRDefault="00ED142D" w:rsidP="00E37DAA">
      <w:pPr>
        <w:pStyle w:val="IEEEParagraph"/>
      </w:pPr>
    </w:p>
    <w:p w:rsidR="007851F8" w:rsidRDefault="007851F8" w:rsidP="00E37DAA">
      <w:pPr>
        <w:pStyle w:val="IEEEParagraph"/>
      </w:pPr>
      <w:r>
        <w:t>Title and Author Details</w:t>
      </w:r>
    </w:p>
    <w:p w:rsidR="007851F8" w:rsidRDefault="007851F8">
      <w:pPr>
        <w:pStyle w:val="IEEEParagraph"/>
      </w:pPr>
      <w:r>
        <w:lastRenderedPageBreak/>
        <w:t xml:space="preserve">Title must be in 24 </w:t>
      </w:r>
      <w:proofErr w:type="spellStart"/>
      <w:r>
        <w:t>pt</w:t>
      </w:r>
      <w:proofErr w:type="spellEnd"/>
      <w:r>
        <w:t xml:space="preserve"> Regular font.  Author name must be in 11 </w:t>
      </w:r>
      <w:proofErr w:type="spellStart"/>
      <w:r>
        <w:t>pt</w:t>
      </w:r>
      <w:proofErr w:type="spellEnd"/>
      <w:r>
        <w:t xml:space="preserve"> Regular font.  Author affiliation must be in 10 </w:t>
      </w:r>
      <w:proofErr w:type="spellStart"/>
      <w:r>
        <w:t>pt</w:t>
      </w:r>
      <w:proofErr w:type="spellEnd"/>
      <w:r>
        <w:t xml:space="preserve"> Italic. Contact email address must be in 9 </w:t>
      </w:r>
      <w:proofErr w:type="spellStart"/>
      <w:r>
        <w:t>pt</w:t>
      </w:r>
      <w:proofErr w:type="spellEnd"/>
      <w:r>
        <w:t xml:space="preserve"> Courier Regular font.</w:t>
      </w:r>
    </w:p>
    <w:p w:rsidR="00944641" w:rsidRDefault="00944641" w:rsidP="00944641">
      <w:pPr>
        <w:pStyle w:val="IEEETableCaption"/>
      </w:pPr>
      <w:r>
        <w:t xml:space="preserve">TABLE </w:t>
      </w:r>
      <w:r>
        <w:fldChar w:fldCharType="begin"/>
      </w:r>
      <w:r>
        <w:instrText xml:space="preserve"> SEQ TABLE \* ROMAN </w:instrText>
      </w:r>
      <w:r>
        <w:fldChar w:fldCharType="separate"/>
      </w:r>
      <w:r w:rsidR="00CD1834">
        <w:rPr>
          <w:noProof/>
        </w:rPr>
        <w:t>I</w:t>
      </w:r>
      <w:r>
        <w:fldChar w:fldCharType="end"/>
      </w:r>
      <w:r>
        <w:br w:type="textWrapping" w:clear="all"/>
        <w:t>Font Sizes for Papers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41"/>
        <w:gridCol w:w="1559"/>
        <w:gridCol w:w="1080"/>
        <w:gridCol w:w="1605"/>
      </w:tblGrid>
      <w:tr w:rsidR="00944641" w:rsidTr="00EF16F6">
        <w:trPr>
          <w:jc w:val="center"/>
        </w:trPr>
        <w:tc>
          <w:tcPr>
            <w:tcW w:w="741" w:type="dxa"/>
            <w:vMerge w:val="restart"/>
          </w:tcPr>
          <w:p w:rsidR="00944641" w:rsidRPr="00C012E1" w:rsidRDefault="00944641" w:rsidP="00EF16F6">
            <w:pPr>
              <w:pStyle w:val="IEEETableHeaderLeft-Justified"/>
            </w:pPr>
            <w:r>
              <w:t>Font S</w:t>
            </w:r>
            <w:r w:rsidRPr="00C012E1">
              <w:t>ize</w:t>
            </w:r>
          </w:p>
        </w:tc>
        <w:tc>
          <w:tcPr>
            <w:tcW w:w="4244" w:type="dxa"/>
            <w:gridSpan w:val="3"/>
          </w:tcPr>
          <w:p w:rsidR="00944641" w:rsidRPr="00C012E1" w:rsidRDefault="00944641" w:rsidP="00EF16F6">
            <w:pPr>
              <w:pStyle w:val="IEEETableHeaderCentered"/>
            </w:pPr>
            <w:r w:rsidRPr="00C012E1">
              <w:t>Appearance</w:t>
            </w:r>
            <w:r>
              <w:t xml:space="preserve"> (in Time New Roman or Times)</w:t>
            </w:r>
          </w:p>
        </w:tc>
      </w:tr>
      <w:tr w:rsidR="00944641" w:rsidTr="00EF16F6">
        <w:trPr>
          <w:jc w:val="center"/>
        </w:trPr>
        <w:tc>
          <w:tcPr>
            <w:tcW w:w="741" w:type="dxa"/>
            <w:vMerge/>
          </w:tcPr>
          <w:p w:rsidR="00944641" w:rsidRPr="008A4622" w:rsidRDefault="00944641" w:rsidP="00EF16F6">
            <w:pPr>
              <w:pStyle w:val="IEEETableCell"/>
              <w:rPr>
                <w:b/>
                <w:bCs/>
              </w:rPr>
            </w:pPr>
          </w:p>
        </w:tc>
        <w:tc>
          <w:tcPr>
            <w:tcW w:w="1559" w:type="dxa"/>
          </w:tcPr>
          <w:p w:rsidR="00944641" w:rsidRPr="00C012E1" w:rsidRDefault="00944641" w:rsidP="00EF16F6">
            <w:pPr>
              <w:pStyle w:val="IEEETableHeaderLeft-Justified"/>
            </w:pPr>
            <w:r w:rsidRPr="00C012E1">
              <w:t>Regular</w:t>
            </w:r>
          </w:p>
        </w:tc>
        <w:tc>
          <w:tcPr>
            <w:tcW w:w="1080" w:type="dxa"/>
          </w:tcPr>
          <w:p w:rsidR="00944641" w:rsidRPr="00C012E1" w:rsidRDefault="00944641" w:rsidP="00EF16F6">
            <w:pPr>
              <w:pStyle w:val="IEEETableHeaderLeft-Justified"/>
            </w:pPr>
            <w:r w:rsidRPr="00C012E1">
              <w:t>Bold</w:t>
            </w:r>
          </w:p>
        </w:tc>
        <w:tc>
          <w:tcPr>
            <w:tcW w:w="1605" w:type="dxa"/>
          </w:tcPr>
          <w:p w:rsidR="00944641" w:rsidRPr="00C012E1" w:rsidRDefault="00944641" w:rsidP="00EF16F6">
            <w:pPr>
              <w:pStyle w:val="IEEETableHeaderLeft-Justified"/>
            </w:pPr>
            <w:r w:rsidRPr="00C012E1">
              <w:t>Italic</w:t>
            </w:r>
          </w:p>
        </w:tc>
      </w:tr>
      <w:tr w:rsidR="00944641" w:rsidTr="00EF16F6">
        <w:trPr>
          <w:jc w:val="center"/>
        </w:trPr>
        <w:tc>
          <w:tcPr>
            <w:tcW w:w="741" w:type="dxa"/>
          </w:tcPr>
          <w:p w:rsidR="00944641" w:rsidRDefault="00944641" w:rsidP="00EF16F6">
            <w:pPr>
              <w:pStyle w:val="IEEETableCell"/>
            </w:pPr>
            <w:r>
              <w:t>8</w:t>
            </w:r>
          </w:p>
        </w:tc>
        <w:tc>
          <w:tcPr>
            <w:tcW w:w="1559" w:type="dxa"/>
          </w:tcPr>
          <w:p w:rsidR="00944641" w:rsidRDefault="00944641" w:rsidP="00EF16F6">
            <w:pPr>
              <w:pStyle w:val="IEEETableCell"/>
            </w:pPr>
            <w:r>
              <w:t>table caption (in Small Caps),</w:t>
            </w:r>
          </w:p>
          <w:p w:rsidR="00944641" w:rsidRDefault="00944641" w:rsidP="00EF16F6">
            <w:pPr>
              <w:pStyle w:val="IEEETableCell"/>
            </w:pPr>
            <w:r>
              <w:t>figure caption,</w:t>
            </w:r>
          </w:p>
          <w:p w:rsidR="00944641" w:rsidRDefault="00944641" w:rsidP="00EF16F6">
            <w:pPr>
              <w:pStyle w:val="IEEETableCell"/>
            </w:pPr>
            <w:r>
              <w:t>reference item</w:t>
            </w:r>
          </w:p>
        </w:tc>
        <w:tc>
          <w:tcPr>
            <w:tcW w:w="1080" w:type="dxa"/>
          </w:tcPr>
          <w:p w:rsidR="00944641" w:rsidRDefault="00944641" w:rsidP="00EF16F6">
            <w:pPr>
              <w:pStyle w:val="IEEETableCell"/>
            </w:pPr>
          </w:p>
        </w:tc>
        <w:tc>
          <w:tcPr>
            <w:tcW w:w="1605" w:type="dxa"/>
          </w:tcPr>
          <w:p w:rsidR="00944641" w:rsidRDefault="00944641" w:rsidP="00EF16F6">
            <w:pPr>
              <w:pStyle w:val="IEEETableCell"/>
            </w:pPr>
            <w:r>
              <w:t>reference item (partial)</w:t>
            </w:r>
          </w:p>
        </w:tc>
      </w:tr>
      <w:tr w:rsidR="00944641" w:rsidTr="00EF16F6">
        <w:trPr>
          <w:jc w:val="center"/>
        </w:trPr>
        <w:tc>
          <w:tcPr>
            <w:tcW w:w="741" w:type="dxa"/>
          </w:tcPr>
          <w:p w:rsidR="00944641" w:rsidRDefault="00944641" w:rsidP="00EF16F6">
            <w:pPr>
              <w:pStyle w:val="IEEETableCell"/>
            </w:pPr>
            <w:r>
              <w:t>9</w:t>
            </w:r>
          </w:p>
        </w:tc>
        <w:tc>
          <w:tcPr>
            <w:tcW w:w="1559" w:type="dxa"/>
          </w:tcPr>
          <w:p w:rsidR="00944641" w:rsidRDefault="00944641" w:rsidP="00EF16F6">
            <w:pPr>
              <w:pStyle w:val="IEEETableCell"/>
            </w:pPr>
            <w:r>
              <w:t>Contact author email address (in Courier), cell in a table</w:t>
            </w:r>
          </w:p>
        </w:tc>
        <w:tc>
          <w:tcPr>
            <w:tcW w:w="1080" w:type="dxa"/>
          </w:tcPr>
          <w:p w:rsidR="00944641" w:rsidRDefault="00944641" w:rsidP="00EF16F6">
            <w:pPr>
              <w:pStyle w:val="IEEETableCell"/>
            </w:pPr>
            <w:r>
              <w:t>abstract body</w:t>
            </w:r>
          </w:p>
        </w:tc>
        <w:tc>
          <w:tcPr>
            <w:tcW w:w="1605" w:type="dxa"/>
          </w:tcPr>
          <w:p w:rsidR="00944641" w:rsidRDefault="00944641" w:rsidP="00EF16F6">
            <w:pPr>
              <w:pStyle w:val="IEEETableCell"/>
            </w:pPr>
            <w:r>
              <w:t>abstract heading (also in Bold)</w:t>
            </w:r>
          </w:p>
        </w:tc>
      </w:tr>
      <w:tr w:rsidR="00944641" w:rsidTr="00EF16F6">
        <w:trPr>
          <w:jc w:val="center"/>
        </w:trPr>
        <w:tc>
          <w:tcPr>
            <w:tcW w:w="741" w:type="dxa"/>
          </w:tcPr>
          <w:p w:rsidR="00944641" w:rsidRDefault="00944641" w:rsidP="00EF16F6">
            <w:pPr>
              <w:pStyle w:val="IEEETableCell"/>
            </w:pPr>
            <w:r>
              <w:t>10</w:t>
            </w:r>
          </w:p>
        </w:tc>
        <w:tc>
          <w:tcPr>
            <w:tcW w:w="1559" w:type="dxa"/>
          </w:tcPr>
          <w:p w:rsidR="00944641" w:rsidRDefault="00944641" w:rsidP="00EF16F6">
            <w:pPr>
              <w:pStyle w:val="IEEETableCell"/>
            </w:pPr>
            <w:r>
              <w:t>level-1 heading (in Small Caps),</w:t>
            </w:r>
          </w:p>
          <w:p w:rsidR="00944641" w:rsidRDefault="00944641" w:rsidP="00EF16F6">
            <w:pPr>
              <w:pStyle w:val="IEEETableCell"/>
            </w:pPr>
            <w:r>
              <w:t>paragraph</w:t>
            </w:r>
          </w:p>
        </w:tc>
        <w:tc>
          <w:tcPr>
            <w:tcW w:w="1080" w:type="dxa"/>
          </w:tcPr>
          <w:p w:rsidR="00944641" w:rsidRDefault="00944641" w:rsidP="00EF16F6">
            <w:pPr>
              <w:pStyle w:val="IEEETableCell"/>
            </w:pPr>
          </w:p>
        </w:tc>
        <w:tc>
          <w:tcPr>
            <w:tcW w:w="1605" w:type="dxa"/>
          </w:tcPr>
          <w:p w:rsidR="00944641" w:rsidRDefault="00944641" w:rsidP="00EF16F6">
            <w:pPr>
              <w:pStyle w:val="IEEETableCell"/>
            </w:pPr>
            <w:r>
              <w:t>level-2 heading,</w:t>
            </w:r>
          </w:p>
          <w:p w:rsidR="00944641" w:rsidRDefault="00944641" w:rsidP="00EF16F6">
            <w:pPr>
              <w:pStyle w:val="IEEETableCell"/>
            </w:pPr>
            <w:r>
              <w:t>level-3 heading,</w:t>
            </w:r>
          </w:p>
          <w:p w:rsidR="00944641" w:rsidRDefault="00944641" w:rsidP="00EF16F6">
            <w:pPr>
              <w:pStyle w:val="IEEETableCell"/>
            </w:pPr>
            <w:r>
              <w:t>author affiliation</w:t>
            </w:r>
          </w:p>
        </w:tc>
      </w:tr>
      <w:tr w:rsidR="00944641" w:rsidTr="00EF16F6">
        <w:trPr>
          <w:jc w:val="center"/>
        </w:trPr>
        <w:tc>
          <w:tcPr>
            <w:tcW w:w="741" w:type="dxa"/>
          </w:tcPr>
          <w:p w:rsidR="00944641" w:rsidRDefault="00944641" w:rsidP="00EF16F6">
            <w:pPr>
              <w:pStyle w:val="IEEETableCell"/>
            </w:pPr>
            <w:r>
              <w:t>11</w:t>
            </w:r>
          </w:p>
        </w:tc>
        <w:tc>
          <w:tcPr>
            <w:tcW w:w="1559" w:type="dxa"/>
          </w:tcPr>
          <w:p w:rsidR="00944641" w:rsidRDefault="00944641" w:rsidP="00EF16F6">
            <w:pPr>
              <w:pStyle w:val="IEEETableCell"/>
            </w:pPr>
            <w:r>
              <w:t>author name</w:t>
            </w:r>
          </w:p>
        </w:tc>
        <w:tc>
          <w:tcPr>
            <w:tcW w:w="1080" w:type="dxa"/>
          </w:tcPr>
          <w:p w:rsidR="00944641" w:rsidRDefault="00944641" w:rsidP="00EF16F6">
            <w:pPr>
              <w:pStyle w:val="IEEETableCell"/>
            </w:pPr>
          </w:p>
        </w:tc>
        <w:tc>
          <w:tcPr>
            <w:tcW w:w="1605" w:type="dxa"/>
          </w:tcPr>
          <w:p w:rsidR="00944641" w:rsidRDefault="00944641" w:rsidP="00EF16F6">
            <w:pPr>
              <w:pStyle w:val="IEEETableCell"/>
            </w:pPr>
          </w:p>
        </w:tc>
      </w:tr>
      <w:tr w:rsidR="00944641" w:rsidTr="00EF16F6">
        <w:trPr>
          <w:jc w:val="center"/>
        </w:trPr>
        <w:tc>
          <w:tcPr>
            <w:tcW w:w="741" w:type="dxa"/>
          </w:tcPr>
          <w:p w:rsidR="00944641" w:rsidRDefault="00944641" w:rsidP="00EF16F6">
            <w:pPr>
              <w:pStyle w:val="IEEETableCell"/>
            </w:pPr>
            <w:r>
              <w:t>24</w:t>
            </w:r>
          </w:p>
        </w:tc>
        <w:tc>
          <w:tcPr>
            <w:tcW w:w="1559" w:type="dxa"/>
          </w:tcPr>
          <w:p w:rsidR="00944641" w:rsidRDefault="00944641" w:rsidP="00EF16F6">
            <w:pPr>
              <w:pStyle w:val="IEEETableCell"/>
            </w:pPr>
            <w:r>
              <w:t>title</w:t>
            </w:r>
          </w:p>
        </w:tc>
        <w:tc>
          <w:tcPr>
            <w:tcW w:w="1080" w:type="dxa"/>
          </w:tcPr>
          <w:p w:rsidR="00944641" w:rsidRDefault="00944641" w:rsidP="00EF16F6">
            <w:pPr>
              <w:pStyle w:val="IEEETableCell"/>
            </w:pPr>
          </w:p>
        </w:tc>
        <w:tc>
          <w:tcPr>
            <w:tcW w:w="1605" w:type="dxa"/>
          </w:tcPr>
          <w:p w:rsidR="00944641" w:rsidRDefault="00944641" w:rsidP="00EF16F6">
            <w:pPr>
              <w:pStyle w:val="IEEETableCell"/>
            </w:pPr>
          </w:p>
        </w:tc>
      </w:tr>
    </w:tbl>
    <w:p w:rsidR="00944641" w:rsidRDefault="00944641">
      <w:pPr>
        <w:pStyle w:val="IEEEParagraph"/>
      </w:pPr>
    </w:p>
    <w:p w:rsidR="007851F8" w:rsidRDefault="007851F8">
      <w:pPr>
        <w:pStyle w:val="IEEEParagraph"/>
      </w:pPr>
      <w:r>
        <w:t xml:space="preserve">All title and author details must be in single-column format and must be </w:t>
      </w:r>
      <w:proofErr w:type="spellStart"/>
      <w:r>
        <w:t>centered</w:t>
      </w:r>
      <w:proofErr w:type="spellEnd"/>
      <w:r>
        <w:t>.</w:t>
      </w:r>
    </w:p>
    <w:p w:rsidR="007851F8" w:rsidRDefault="007851F8">
      <w:pPr>
        <w:pStyle w:val="IEEEParagraph"/>
      </w:pPr>
      <w:r>
        <w:t>Every word in a title must be capitalized except for short minor words such as “a”, “an”, “and”, “as”, “at”, “by”, “for”, “from”, “if”, “in”, “into”, “on”, “or”, “of”, “the”, “to”, “with”.</w:t>
      </w:r>
    </w:p>
    <w:p w:rsidR="007851F8" w:rsidRDefault="007851F8">
      <w:pPr>
        <w:pStyle w:val="IEEEParagraph"/>
      </w:pPr>
      <w:r>
        <w:t xml:space="preserve">Author details must not show any professional title (e.g. Managing Director), any academic title (e.g. </w:t>
      </w:r>
      <w:proofErr w:type="spellStart"/>
      <w:r>
        <w:t>Dr.</w:t>
      </w:r>
      <w:proofErr w:type="spellEnd"/>
      <w:r>
        <w:t>) or any membership of any professional organization (e.g. Senior Member IEEE).</w:t>
      </w:r>
    </w:p>
    <w:p w:rsidR="007851F8" w:rsidRDefault="007851F8">
      <w:pPr>
        <w:pStyle w:val="IEEEParagraph"/>
      </w:pPr>
      <w:r>
        <w:t>To avoid confusion, the family name must be written as the last part of each author name (e.g. John A.K. Smith).</w:t>
      </w:r>
    </w:p>
    <w:p w:rsidR="007851F8" w:rsidRDefault="007851F8">
      <w:pPr>
        <w:pStyle w:val="IEEEParagraph"/>
      </w:pPr>
      <w:r>
        <w:t xml:space="preserve">Each affiliation must include, at the very least, the name of the institute/university and the name of the country where the author is based (e.g. </w:t>
      </w:r>
      <w:smartTag w:uri="urn:schemas-microsoft-com:office:smarttags" w:element="place">
        <w:smartTag w:uri="urn:schemas-microsoft-com:office:smarttags" w:element="City">
          <w:r>
            <w:t>University of Tokyo</w:t>
          </w:r>
        </w:smartTag>
        <w:r>
          <w:t xml:space="preserve">, </w:t>
        </w:r>
        <w:smartTag w:uri="urn:schemas-microsoft-com:office:smarttags" w:element="country-region">
          <w:r>
            <w:t>Japan</w:t>
          </w:r>
        </w:smartTag>
      </w:smartTag>
      <w:r>
        <w:t>).</w:t>
      </w:r>
    </w:p>
    <w:p w:rsidR="007851F8" w:rsidRDefault="007851F8">
      <w:pPr>
        <w:pStyle w:val="IEEEParagraph"/>
      </w:pPr>
      <w:r>
        <w:t>Email address is compulsory for the corresponding author.</w:t>
      </w:r>
    </w:p>
    <w:p w:rsidR="007851F8" w:rsidRDefault="007851F8">
      <w:pPr>
        <w:pStyle w:val="IEEEHeading2"/>
        <w:ind w:left="288" w:hanging="288"/>
      </w:pPr>
      <w:r>
        <w:t>Section Headings</w:t>
      </w:r>
    </w:p>
    <w:p w:rsidR="007851F8" w:rsidRDefault="007851F8">
      <w:pPr>
        <w:pStyle w:val="IEEEParagraph"/>
      </w:pPr>
      <w:r>
        <w:t>No more than 3 levels of headings should be used.  All headings must be in 10pt font.  Every word in a heading must be capitalized except for short minor words as listed in Section III-B.</w:t>
      </w:r>
    </w:p>
    <w:p w:rsidR="007851F8" w:rsidRDefault="007851F8">
      <w:pPr>
        <w:pStyle w:val="IEEEHeading3"/>
        <w:ind w:firstLine="0"/>
        <w:rPr>
          <w:i w:val="0"/>
          <w:iCs/>
        </w:rPr>
      </w:pPr>
      <w:r>
        <w:t>Level-1 Heading</w:t>
      </w:r>
      <w:r>
        <w:rPr>
          <w:i w:val="0"/>
          <w:iCs/>
        </w:rPr>
        <w:t xml:space="preserve">:  A level-1 heading must be in Small Caps, </w:t>
      </w:r>
      <w:proofErr w:type="spellStart"/>
      <w:r>
        <w:rPr>
          <w:i w:val="0"/>
          <w:iCs/>
        </w:rPr>
        <w:t>centered</w:t>
      </w:r>
      <w:proofErr w:type="spellEnd"/>
      <w:r>
        <w:rPr>
          <w:i w:val="0"/>
          <w:iCs/>
        </w:rPr>
        <w:t xml:space="preserve"> and numbered using uppercase Roman numerals.  For example, see heading “III. Page Style” of this document.  The two level-1 headings which must not be numbered are “Acknowledgment” and “References”.</w:t>
      </w:r>
    </w:p>
    <w:p w:rsidR="007851F8" w:rsidRDefault="007851F8">
      <w:pPr>
        <w:pStyle w:val="IEEEHeading3"/>
        <w:ind w:firstLine="0"/>
        <w:rPr>
          <w:i w:val="0"/>
          <w:iCs/>
        </w:rPr>
      </w:pPr>
      <w:r>
        <w:t>Level-2 Heading:</w:t>
      </w:r>
      <w:r>
        <w:rPr>
          <w:i w:val="0"/>
          <w:iCs/>
        </w:rPr>
        <w:t xml:space="preserve">  A level-2 heading must be in Italic, left-justified and numbered using an uppercase alphabetic letter followed by a period.  For example, see heading “C. Section Headings” above.</w:t>
      </w:r>
    </w:p>
    <w:p w:rsidR="007851F8" w:rsidRDefault="007851F8">
      <w:pPr>
        <w:pStyle w:val="IEEEHeading3"/>
        <w:ind w:firstLine="0"/>
        <w:rPr>
          <w:i w:val="0"/>
          <w:iCs/>
        </w:rPr>
      </w:pPr>
      <w:r>
        <w:t>Level-3 Heading:</w:t>
      </w:r>
      <w:r>
        <w:rPr>
          <w:i w:val="0"/>
          <w:iCs/>
        </w:rPr>
        <w:t xml:space="preserve">  A level-3 heading must be indented, in Italic and numbered with an Arabic numeral followed by a right parenthesis. The level-3 heading must end with a colon.  The body of the level-3 section immediately follows the level-3 heading in the same paragraph.  For example, this paragraph begins with a level-3 heading.</w:t>
      </w:r>
    </w:p>
    <w:p w:rsidR="007851F8" w:rsidRDefault="007851F8">
      <w:pPr>
        <w:pStyle w:val="IEEEHeading2"/>
        <w:ind w:left="288" w:hanging="288"/>
        <w:rPr>
          <w:lang w:val="en-GB"/>
        </w:rPr>
      </w:pPr>
      <w:r>
        <w:rPr>
          <w:lang w:val="en-GB"/>
        </w:rPr>
        <w:lastRenderedPageBreak/>
        <w:t>Figures and Tables</w:t>
      </w:r>
    </w:p>
    <w:p w:rsidR="007851F8" w:rsidRDefault="007851F8">
      <w:pPr>
        <w:pStyle w:val="IEEEParagraph"/>
        <w:rPr>
          <w:lang w:val="en-GB"/>
        </w:rPr>
      </w:pPr>
      <w:r>
        <w:rPr>
          <w:lang w:val="en-GB"/>
        </w:rPr>
        <w:t xml:space="preserve">Figures and tables must be </w:t>
      </w:r>
      <w:proofErr w:type="spellStart"/>
      <w:r>
        <w:rPr>
          <w:lang w:val="en-GB"/>
        </w:rPr>
        <w:t>centered</w:t>
      </w:r>
      <w:proofErr w:type="spellEnd"/>
      <w:r>
        <w:rPr>
          <w:lang w:val="en-GB"/>
        </w:rPr>
        <w:t xml:space="preserve"> in the column.  Large figures and tables may span across both columns.  Any table or figure that takes up more than 1 column width must be positioned either at the top or at the bottom of the page.</w:t>
      </w:r>
    </w:p>
    <w:p w:rsidR="007851F8" w:rsidRDefault="007851F8">
      <w:pPr>
        <w:pStyle w:val="IEEEParagraph"/>
        <w:rPr>
          <w:lang w:val="en-GB"/>
        </w:rPr>
      </w:pPr>
      <w:r>
        <w:rPr>
          <w:lang w:val="en-GB"/>
        </w:rPr>
        <w:t>Graphics may be full</w:t>
      </w:r>
      <w:r>
        <w:rPr>
          <w:lang w:val="en-US"/>
        </w:rPr>
        <w:t xml:space="preserve"> color</w:t>
      </w:r>
      <w:r>
        <w:rPr>
          <w:lang w:val="en-GB"/>
        </w:rPr>
        <w:t xml:space="preserve">.  All </w:t>
      </w:r>
      <w:proofErr w:type="spellStart"/>
      <w:r>
        <w:rPr>
          <w:lang w:val="en-GB"/>
        </w:rPr>
        <w:t>colors</w:t>
      </w:r>
      <w:proofErr w:type="spellEnd"/>
      <w:r>
        <w:rPr>
          <w:lang w:val="en-GB"/>
        </w:rPr>
        <w:t xml:space="preserve"> will be retained in the online proceedings but will be </w:t>
      </w:r>
      <w:proofErr w:type="spellStart"/>
      <w:r>
        <w:rPr>
          <w:lang w:val="en-GB"/>
        </w:rPr>
        <w:t>gray</w:t>
      </w:r>
      <w:proofErr w:type="spellEnd"/>
      <w:r>
        <w:rPr>
          <w:lang w:val="en-GB"/>
        </w:rPr>
        <w:t xml:space="preserve"> scale in the printed proceedings.  Graphics must not use stipple fill patterns because they may not be reproduced properly.  Please use only </w:t>
      </w:r>
      <w:r>
        <w:rPr>
          <w:i/>
          <w:iCs/>
          <w:lang w:val="en-GB"/>
        </w:rPr>
        <w:t>SOLID FILL</w:t>
      </w:r>
      <w:r>
        <w:rPr>
          <w:lang w:val="en-GB"/>
        </w:rPr>
        <w:t xml:space="preserve"> </w:t>
      </w:r>
      <w:proofErr w:type="spellStart"/>
      <w:r>
        <w:t>colors</w:t>
      </w:r>
      <w:proofErr w:type="spellEnd"/>
      <w:r>
        <w:rPr>
          <w:lang w:val="en-GB"/>
        </w:rPr>
        <w:t xml:space="preserve"> which contrast well both on screen and on a black-and-white hardcopy, as shown in Fig. 1.</w:t>
      </w:r>
    </w:p>
    <w:p w:rsidR="007851F8" w:rsidRDefault="007851F8">
      <w:pPr>
        <w:pStyle w:val="IEEEParagraph"/>
      </w:pPr>
    </w:p>
    <w:p w:rsidR="007851F8" w:rsidRDefault="001B69EB">
      <w:pPr>
        <w:pStyle w:val="IEEEFigure"/>
      </w:pPr>
      <w:r>
        <w:rPr>
          <w:noProof/>
          <w:lang w:val="en-US" w:eastAsia="zh-TW"/>
        </w:rPr>
        <w:drawing>
          <wp:inline distT="0" distB="0" distL="0" distR="0">
            <wp:extent cx="2466975" cy="1790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6975" cy="1790700"/>
                    </a:xfrm>
                    <a:prstGeom prst="rect">
                      <a:avLst/>
                    </a:prstGeom>
                    <a:solidFill>
                      <a:srgbClr val="FFFFFF"/>
                    </a:solidFill>
                    <a:ln>
                      <a:noFill/>
                    </a:ln>
                  </pic:spPr>
                </pic:pic>
              </a:graphicData>
            </a:graphic>
          </wp:inline>
        </w:drawing>
      </w:r>
    </w:p>
    <w:p w:rsidR="007851F8" w:rsidRDefault="007851F8">
      <w:pPr>
        <w:pStyle w:val="IEEEFigureCaptionMulti-Lines"/>
      </w:pPr>
      <w:r>
        <w:t xml:space="preserve">Fig. </w:t>
      </w:r>
      <w:r>
        <w:fldChar w:fldCharType="begin"/>
      </w:r>
      <w:r>
        <w:instrText xml:space="preserve"> SEQ "Fig." \*Arabic </w:instrText>
      </w:r>
      <w:r>
        <w:fldChar w:fldCharType="separate"/>
      </w:r>
      <w:r w:rsidR="00943742">
        <w:rPr>
          <w:noProof/>
        </w:rPr>
        <w:t>2</w:t>
      </w:r>
      <w:r>
        <w:fldChar w:fldCharType="end"/>
      </w:r>
      <w:r>
        <w:t xml:space="preserve">  A sample line graph using </w:t>
      </w:r>
      <w:proofErr w:type="spellStart"/>
      <w:r>
        <w:t>colors</w:t>
      </w:r>
      <w:proofErr w:type="spellEnd"/>
      <w:r>
        <w:t xml:space="preserve"> which contrast well both on screen and on a black-and-white hardcopy</w:t>
      </w:r>
    </w:p>
    <w:p w:rsidR="007851F8" w:rsidRDefault="007851F8">
      <w:pPr>
        <w:pStyle w:val="IEEEParagraph"/>
      </w:pPr>
    </w:p>
    <w:p w:rsidR="007851F8" w:rsidRDefault="007851F8">
      <w:pPr>
        <w:pStyle w:val="IEEEParagraph"/>
        <w:rPr>
          <w:lang w:val="en-GB"/>
        </w:rPr>
      </w:pPr>
      <w:r>
        <w:rPr>
          <w:lang w:val="en-GB"/>
        </w:rPr>
        <w:t>Fig. 2 shows an example of a low-resolution image which would not be acceptable, whereas Fig. 3 shows an example of an image with adequate resolution.  Check that the resolution is adequate to reveal the important detail in the figure.</w:t>
      </w:r>
    </w:p>
    <w:p w:rsidR="007851F8" w:rsidRDefault="007851F8">
      <w:pPr>
        <w:pStyle w:val="IEEEParagraph"/>
        <w:rPr>
          <w:lang w:val="en-GB"/>
        </w:rPr>
      </w:pPr>
      <w:r>
        <w:rPr>
          <w:lang w:val="en-GB"/>
        </w:rPr>
        <w:t>Please check all figures in your paper both on screen and on a black-and-white hardcopy.  When you check your paper on a black-and-white hardcopy, please ensure that:</w:t>
      </w:r>
    </w:p>
    <w:p w:rsidR="007851F8" w:rsidRDefault="007851F8">
      <w:pPr>
        <w:pStyle w:val="IEEEParagraph"/>
        <w:numPr>
          <w:ilvl w:val="0"/>
          <w:numId w:val="4"/>
        </w:numPr>
        <w:rPr>
          <w:lang w:val="en-GB"/>
        </w:rPr>
      </w:pPr>
      <w:r>
        <w:rPr>
          <w:lang w:val="en-GB"/>
        </w:rPr>
        <w:t xml:space="preserve">the </w:t>
      </w:r>
      <w:proofErr w:type="spellStart"/>
      <w:r>
        <w:rPr>
          <w:lang w:val="en-GB"/>
        </w:rPr>
        <w:t>colors</w:t>
      </w:r>
      <w:proofErr w:type="spellEnd"/>
      <w:r>
        <w:rPr>
          <w:lang w:val="en-GB"/>
        </w:rPr>
        <w:t xml:space="preserve"> used in each figure contrast well,</w:t>
      </w:r>
    </w:p>
    <w:p w:rsidR="007851F8" w:rsidRDefault="007851F8">
      <w:pPr>
        <w:pStyle w:val="IEEEParagraph"/>
        <w:numPr>
          <w:ilvl w:val="0"/>
          <w:numId w:val="4"/>
        </w:numPr>
        <w:rPr>
          <w:lang w:val="en-GB"/>
        </w:rPr>
      </w:pPr>
      <w:r>
        <w:rPr>
          <w:lang w:val="en-GB"/>
        </w:rPr>
        <w:t>the image used in each figure is clear,</w:t>
      </w:r>
    </w:p>
    <w:p w:rsidR="007851F8" w:rsidRDefault="007851F8">
      <w:pPr>
        <w:pStyle w:val="IEEEParagraph"/>
        <w:numPr>
          <w:ilvl w:val="0"/>
          <w:numId w:val="4"/>
        </w:numPr>
        <w:rPr>
          <w:lang w:val="en-GB"/>
        </w:rPr>
      </w:pPr>
      <w:r>
        <w:rPr>
          <w:lang w:val="en-GB"/>
        </w:rPr>
        <w:t>all text labels in each figure are legible.</w:t>
      </w:r>
    </w:p>
    <w:p w:rsidR="007319B8" w:rsidRDefault="007319B8">
      <w:pPr>
        <w:pStyle w:val="IEEEParagraph"/>
        <w:numPr>
          <w:ilvl w:val="0"/>
          <w:numId w:val="4"/>
        </w:numPr>
        <w:rPr>
          <w:lang w:val="en-GB"/>
        </w:rPr>
      </w:pPr>
      <w:r>
        <w:rPr>
          <w:lang w:val="en-GB"/>
        </w:rPr>
        <w:t>That each figure is centred.</w:t>
      </w:r>
    </w:p>
    <w:p w:rsidR="007851F8" w:rsidRDefault="007851F8">
      <w:pPr>
        <w:pStyle w:val="IEEEHeading2"/>
        <w:ind w:left="288" w:hanging="288"/>
      </w:pPr>
      <w:r>
        <w:t>Figure Captions</w:t>
      </w:r>
    </w:p>
    <w:p w:rsidR="007851F8" w:rsidRDefault="007851F8">
      <w:pPr>
        <w:pStyle w:val="IEEEParagraph"/>
        <w:rPr>
          <w:lang w:val="en-GB"/>
        </w:rPr>
      </w:pPr>
      <w:r>
        <w:rPr>
          <w:lang w:val="en-GB"/>
        </w:rPr>
        <w:t xml:space="preserve">Figures must be numbered using Arabic numerals.  Figure captions must be in 8 </w:t>
      </w:r>
      <w:proofErr w:type="spellStart"/>
      <w:r>
        <w:rPr>
          <w:lang w:val="en-GB"/>
        </w:rPr>
        <w:t>pt</w:t>
      </w:r>
      <w:proofErr w:type="spellEnd"/>
      <w:r>
        <w:rPr>
          <w:lang w:val="en-GB"/>
        </w:rPr>
        <w:t xml:space="preserve"> Regular font.  Captions of a single line (e.g. Fig. 2) must be </w:t>
      </w:r>
      <w:proofErr w:type="spellStart"/>
      <w:r>
        <w:rPr>
          <w:lang w:val="en-GB"/>
        </w:rPr>
        <w:t>centered</w:t>
      </w:r>
      <w:proofErr w:type="spellEnd"/>
      <w:r>
        <w:rPr>
          <w:lang w:val="en-GB"/>
        </w:rPr>
        <w:t xml:space="preserve"> whereas multi-line captions must be justified (e.g. Fig. 1).  Captions with figure numbers must be placed after their associated figures, as shown in Fig. 1.</w:t>
      </w:r>
    </w:p>
    <w:p w:rsidR="007851F8" w:rsidRDefault="001B69EB">
      <w:pPr>
        <w:pStyle w:val="IEEEFigure"/>
      </w:pPr>
      <w:r>
        <w:rPr>
          <w:noProof/>
          <w:lang w:val="en-US" w:eastAsia="zh-TW"/>
        </w:rPr>
        <w:lastRenderedPageBreak/>
        <w:drawing>
          <wp:inline distT="0" distB="0" distL="0" distR="0">
            <wp:extent cx="1628775" cy="2333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8775" cy="2333625"/>
                    </a:xfrm>
                    <a:prstGeom prst="rect">
                      <a:avLst/>
                    </a:prstGeom>
                    <a:solidFill>
                      <a:srgbClr val="FFFFFF"/>
                    </a:solidFill>
                    <a:ln>
                      <a:noFill/>
                    </a:ln>
                  </pic:spPr>
                </pic:pic>
              </a:graphicData>
            </a:graphic>
          </wp:inline>
        </w:drawing>
      </w:r>
    </w:p>
    <w:p w:rsidR="007851F8" w:rsidRDefault="007851F8">
      <w:pPr>
        <w:pStyle w:val="IEEEFigureCaptionSingle-Line"/>
      </w:pPr>
      <w:r>
        <w:t xml:space="preserve">Fig. </w:t>
      </w:r>
      <w:r>
        <w:fldChar w:fldCharType="begin"/>
      </w:r>
      <w:r>
        <w:instrText xml:space="preserve"> SEQ "Fig." \*Arabic </w:instrText>
      </w:r>
      <w:r>
        <w:fldChar w:fldCharType="separate"/>
      </w:r>
      <w:r w:rsidR="00943742">
        <w:rPr>
          <w:noProof/>
        </w:rPr>
        <w:t>3</w:t>
      </w:r>
      <w:r>
        <w:fldChar w:fldCharType="end"/>
      </w:r>
      <w:r>
        <w:t xml:space="preserve">  Example of an unacceptable low-resolution image</w:t>
      </w:r>
    </w:p>
    <w:p w:rsidR="007851F8" w:rsidRDefault="007851F8">
      <w:pPr>
        <w:pStyle w:val="IEEEParagraph"/>
      </w:pPr>
    </w:p>
    <w:p w:rsidR="007851F8" w:rsidRDefault="001B69EB">
      <w:pPr>
        <w:pStyle w:val="IEEEFigure"/>
      </w:pPr>
      <w:r>
        <w:rPr>
          <w:noProof/>
          <w:lang w:val="en-US" w:eastAsia="zh-TW"/>
        </w:rPr>
        <w:drawing>
          <wp:inline distT="0" distB="0" distL="0" distR="0">
            <wp:extent cx="1533525" cy="2238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33525" cy="2238375"/>
                    </a:xfrm>
                    <a:prstGeom prst="rect">
                      <a:avLst/>
                    </a:prstGeom>
                    <a:solidFill>
                      <a:srgbClr val="FFFFFF"/>
                    </a:solidFill>
                    <a:ln>
                      <a:noFill/>
                    </a:ln>
                  </pic:spPr>
                </pic:pic>
              </a:graphicData>
            </a:graphic>
          </wp:inline>
        </w:drawing>
      </w:r>
    </w:p>
    <w:p w:rsidR="007851F8" w:rsidRDefault="007851F8">
      <w:pPr>
        <w:pStyle w:val="IEEEFigureCaptionSingle-Line"/>
      </w:pPr>
      <w:r>
        <w:t xml:space="preserve">Fig. </w:t>
      </w:r>
      <w:r>
        <w:fldChar w:fldCharType="begin"/>
      </w:r>
      <w:r>
        <w:instrText xml:space="preserve"> SEQ "Fig." \*Arabic </w:instrText>
      </w:r>
      <w:r>
        <w:fldChar w:fldCharType="separate"/>
      </w:r>
      <w:r w:rsidR="00943742">
        <w:rPr>
          <w:noProof/>
        </w:rPr>
        <w:t>4</w:t>
      </w:r>
      <w:r>
        <w:fldChar w:fldCharType="end"/>
      </w:r>
      <w:r>
        <w:t xml:space="preserve">  Example of an image with acceptable resolution</w:t>
      </w:r>
    </w:p>
    <w:p w:rsidR="007851F8" w:rsidRDefault="007851F8">
      <w:pPr>
        <w:pStyle w:val="IEEEParagraph"/>
      </w:pPr>
    </w:p>
    <w:p w:rsidR="007851F8" w:rsidRDefault="007851F8">
      <w:pPr>
        <w:pStyle w:val="IEEEHeading2"/>
        <w:ind w:left="288" w:hanging="288"/>
      </w:pPr>
      <w:r>
        <w:t>Table Captions</w:t>
      </w:r>
    </w:p>
    <w:p w:rsidR="007851F8" w:rsidRDefault="007851F8">
      <w:pPr>
        <w:pStyle w:val="IEEEParagraph"/>
        <w:rPr>
          <w:lang w:val="en-GB"/>
        </w:rPr>
      </w:pPr>
      <w:r>
        <w:rPr>
          <w:lang w:val="en-GB"/>
        </w:rPr>
        <w:t xml:space="preserve">Tables must be numbered using uppercase Roman numerals.  Table captions must be centred and in 8 </w:t>
      </w:r>
      <w:proofErr w:type="spellStart"/>
      <w:r>
        <w:rPr>
          <w:lang w:val="en-GB"/>
        </w:rPr>
        <w:t>pt</w:t>
      </w:r>
      <w:proofErr w:type="spellEnd"/>
      <w:r>
        <w:rPr>
          <w:lang w:val="en-GB"/>
        </w:rPr>
        <w:t xml:space="preserve"> Regular font with Small Caps.  </w:t>
      </w:r>
      <w:r>
        <w:t>Every word in a table caption must be capitalized except for short minor words as listed in Section III-B</w:t>
      </w:r>
      <w:r>
        <w:rPr>
          <w:lang w:val="en-GB"/>
        </w:rPr>
        <w:t>.  Captions with table numbers must be placed before their associated tables, as shown in Table 1.</w:t>
      </w:r>
    </w:p>
    <w:p w:rsidR="007851F8" w:rsidRDefault="007851F8">
      <w:pPr>
        <w:pStyle w:val="IEEEParagraph"/>
        <w:rPr>
          <w:lang w:val="en-GB"/>
        </w:rPr>
      </w:pPr>
    </w:p>
    <w:p w:rsidR="007851F8" w:rsidRDefault="007851F8">
      <w:pPr>
        <w:pStyle w:val="IEEEHeading2"/>
        <w:ind w:left="288" w:hanging="288"/>
      </w:pPr>
      <w:r>
        <w:t>Page Numbers, Headers and Footers</w:t>
      </w:r>
    </w:p>
    <w:p w:rsidR="007851F8" w:rsidRDefault="007851F8">
      <w:pPr>
        <w:pStyle w:val="IEEEParagraph"/>
      </w:pPr>
      <w:r>
        <w:t>Page numbers and footers must not be used. Please leave the header unchanged.</w:t>
      </w:r>
      <w:r w:rsidR="007319B8">
        <w:t xml:space="preserve"> </w:t>
      </w:r>
    </w:p>
    <w:p w:rsidR="007851F8" w:rsidRDefault="007851F8">
      <w:pPr>
        <w:pStyle w:val="IEEEParagraph"/>
      </w:pPr>
    </w:p>
    <w:p w:rsidR="007851F8" w:rsidRDefault="007851F8">
      <w:pPr>
        <w:pStyle w:val="IEEEHeading2"/>
        <w:ind w:left="288" w:hanging="288"/>
      </w:pPr>
      <w:r>
        <w:t>Links and Bookmarks</w:t>
      </w:r>
    </w:p>
    <w:p w:rsidR="007851F8" w:rsidRDefault="007851F8">
      <w:pPr>
        <w:pStyle w:val="IEEEParagraph"/>
        <w:rPr>
          <w:lang w:val="en-US"/>
        </w:rPr>
      </w:pPr>
      <w:r>
        <w:rPr>
          <w:lang w:val="en-US"/>
        </w:rPr>
        <w:t>All hypertext links and section bookmarks will be removed from papers during the processing of papers for publication.  If you need to refer to an Internet email address or URL in your paper, you must type out the address or URL fully in Regular font.</w:t>
      </w:r>
    </w:p>
    <w:p w:rsidR="007851F8" w:rsidRDefault="007851F8">
      <w:pPr>
        <w:pStyle w:val="IEEEHeading2"/>
        <w:ind w:left="288" w:hanging="288"/>
      </w:pPr>
      <w:r>
        <w:t>References</w:t>
      </w:r>
    </w:p>
    <w:p w:rsidR="007851F8" w:rsidRDefault="007851F8">
      <w:pPr>
        <w:pStyle w:val="IEEEParagraph"/>
        <w:rPr>
          <w:lang w:val="en-GB"/>
        </w:rPr>
      </w:pPr>
      <w:r>
        <w:rPr>
          <w:lang w:val="en-GB"/>
        </w:rPr>
        <w:t xml:space="preserve">The heading of the References section must not be numbered.  All reference items must be in 8 </w:t>
      </w:r>
      <w:proofErr w:type="spellStart"/>
      <w:r>
        <w:rPr>
          <w:lang w:val="en-GB"/>
        </w:rPr>
        <w:t>pt</w:t>
      </w:r>
      <w:proofErr w:type="spellEnd"/>
      <w:r>
        <w:rPr>
          <w:lang w:val="en-GB"/>
        </w:rPr>
        <w:t xml:space="preserve"> font.  Please use Regular and Italic styles to distinguish different fields as shown in the References section.</w:t>
      </w:r>
      <w:r>
        <w:rPr>
          <w:lang w:val="en-US"/>
        </w:rPr>
        <w:t xml:space="preserve">  </w:t>
      </w:r>
      <w:r>
        <w:rPr>
          <w:lang w:val="en-GB"/>
        </w:rPr>
        <w:t xml:space="preserve">Number the reference items consecutively in square brackets (e.g. [1]).  </w:t>
      </w:r>
    </w:p>
    <w:p w:rsidR="007851F8" w:rsidRDefault="007851F8">
      <w:pPr>
        <w:pStyle w:val="IEEEParagraph"/>
        <w:rPr>
          <w:lang w:val="en-GB"/>
        </w:rPr>
      </w:pPr>
      <w:r>
        <w:rPr>
          <w:lang w:val="en-GB"/>
        </w:rPr>
        <w:t>When referring to a reference item, please simply use the reference number, as in [2].  Do not use “Ref. [3]” or “Reference [3]” except at the beginning of a sentence, e.g.  “Reference [3] shows …”.  Multiple references are each numbered with separate brackets (e.g. [2], [3], [4]–[6]).</w:t>
      </w:r>
    </w:p>
    <w:p w:rsidR="007851F8" w:rsidRDefault="007851F8">
      <w:pPr>
        <w:pStyle w:val="IEEEParagraph"/>
        <w:rPr>
          <w:lang w:val="en-GB"/>
        </w:rPr>
      </w:pPr>
      <w:r>
        <w:rPr>
          <w:lang w:val="en-GB"/>
        </w:rPr>
        <w:t>Examples of reference items of different categories shown in the References section include:</w:t>
      </w:r>
    </w:p>
    <w:p w:rsidR="007851F8" w:rsidRDefault="007851F8">
      <w:pPr>
        <w:pStyle w:val="IEEEParagraph"/>
        <w:numPr>
          <w:ilvl w:val="0"/>
          <w:numId w:val="4"/>
        </w:numPr>
        <w:rPr>
          <w:lang w:val="en-GB"/>
        </w:rPr>
      </w:pPr>
      <w:r>
        <w:rPr>
          <w:lang w:val="en-GB"/>
        </w:rPr>
        <w:t>example of a book in [1]</w:t>
      </w:r>
    </w:p>
    <w:p w:rsidR="007851F8" w:rsidRDefault="007851F8">
      <w:pPr>
        <w:pStyle w:val="IEEEParagraph"/>
        <w:numPr>
          <w:ilvl w:val="0"/>
          <w:numId w:val="4"/>
        </w:numPr>
      </w:pPr>
      <w:r>
        <w:t>example of a book in a series in [2]</w:t>
      </w:r>
    </w:p>
    <w:p w:rsidR="007851F8" w:rsidRDefault="007851F8">
      <w:pPr>
        <w:pStyle w:val="IEEEParagraph"/>
        <w:numPr>
          <w:ilvl w:val="0"/>
          <w:numId w:val="4"/>
        </w:numPr>
      </w:pPr>
      <w:r>
        <w:t>example of a journal article in [3]</w:t>
      </w:r>
    </w:p>
    <w:p w:rsidR="007851F8" w:rsidRDefault="007851F8">
      <w:pPr>
        <w:pStyle w:val="IEEEParagraph"/>
        <w:numPr>
          <w:ilvl w:val="0"/>
          <w:numId w:val="4"/>
        </w:numPr>
      </w:pPr>
      <w:r>
        <w:t>example of a conference paper in [4]</w:t>
      </w:r>
    </w:p>
    <w:p w:rsidR="007851F8" w:rsidRDefault="007851F8">
      <w:pPr>
        <w:pStyle w:val="IEEEParagraph"/>
        <w:numPr>
          <w:ilvl w:val="0"/>
          <w:numId w:val="4"/>
        </w:numPr>
      </w:pPr>
      <w:r>
        <w:t>example of a patent in [5]</w:t>
      </w:r>
    </w:p>
    <w:p w:rsidR="007851F8" w:rsidRDefault="007851F8">
      <w:pPr>
        <w:pStyle w:val="IEEEParagraph"/>
        <w:numPr>
          <w:ilvl w:val="0"/>
          <w:numId w:val="4"/>
        </w:numPr>
      </w:pPr>
      <w:r>
        <w:t>example of a website in [6]</w:t>
      </w:r>
    </w:p>
    <w:p w:rsidR="007851F8" w:rsidRDefault="007851F8">
      <w:pPr>
        <w:pStyle w:val="IEEEParagraph"/>
        <w:numPr>
          <w:ilvl w:val="0"/>
          <w:numId w:val="4"/>
        </w:numPr>
      </w:pPr>
      <w:r>
        <w:t>example of a web page in [7]</w:t>
      </w:r>
    </w:p>
    <w:p w:rsidR="007851F8" w:rsidRDefault="007851F8">
      <w:pPr>
        <w:pStyle w:val="IEEEParagraph"/>
        <w:numPr>
          <w:ilvl w:val="0"/>
          <w:numId w:val="4"/>
        </w:numPr>
      </w:pPr>
      <w:r>
        <w:t xml:space="preserve">example of a </w:t>
      </w:r>
      <w:proofErr w:type="spellStart"/>
      <w:r>
        <w:t>databook</w:t>
      </w:r>
      <w:proofErr w:type="spellEnd"/>
      <w:r>
        <w:t xml:space="preserve"> as a manual in [8]</w:t>
      </w:r>
    </w:p>
    <w:p w:rsidR="007851F8" w:rsidRDefault="007851F8">
      <w:pPr>
        <w:pStyle w:val="IEEEParagraph"/>
        <w:numPr>
          <w:ilvl w:val="0"/>
          <w:numId w:val="4"/>
        </w:numPr>
      </w:pPr>
      <w:r>
        <w:t>example of a datasheet in [9]</w:t>
      </w:r>
    </w:p>
    <w:p w:rsidR="007851F8" w:rsidRDefault="007851F8">
      <w:pPr>
        <w:pStyle w:val="IEEEParagraph"/>
        <w:numPr>
          <w:ilvl w:val="0"/>
          <w:numId w:val="4"/>
        </w:numPr>
      </w:pPr>
      <w:r>
        <w:t>example of a master’s thesis in [10]</w:t>
      </w:r>
    </w:p>
    <w:p w:rsidR="007851F8" w:rsidRDefault="007851F8">
      <w:pPr>
        <w:pStyle w:val="IEEEParagraph"/>
        <w:numPr>
          <w:ilvl w:val="0"/>
          <w:numId w:val="4"/>
        </w:numPr>
      </w:pPr>
      <w:r>
        <w:t>example of a technical report in [11]</w:t>
      </w:r>
    </w:p>
    <w:p w:rsidR="007851F8" w:rsidRDefault="007851F8">
      <w:pPr>
        <w:pStyle w:val="IEEEParagraph"/>
        <w:numPr>
          <w:ilvl w:val="0"/>
          <w:numId w:val="4"/>
        </w:numPr>
      </w:pPr>
      <w:r>
        <w:t>example of a standard in [12]</w:t>
      </w:r>
    </w:p>
    <w:p w:rsidR="007851F8" w:rsidRDefault="007851F8">
      <w:pPr>
        <w:pStyle w:val="IEEEHeading1"/>
        <w:ind w:left="288" w:hanging="288"/>
      </w:pPr>
      <w:r>
        <w:t>Conclusions</w:t>
      </w:r>
    </w:p>
    <w:p w:rsidR="007851F8" w:rsidRDefault="007851F8">
      <w:pPr>
        <w:pStyle w:val="IEEEParagraph"/>
        <w:rPr>
          <w:lang w:val="en-US"/>
        </w:rPr>
      </w:pPr>
      <w:r>
        <w:t>This template is partly based on the template used for the 19</w:t>
      </w:r>
      <w:r>
        <w:rPr>
          <w:vertAlign w:val="superscript"/>
        </w:rPr>
        <w:t>th</w:t>
      </w:r>
      <w:r>
        <w:t xml:space="preserve"> ISSTT (Groningen, 2008)</w:t>
      </w:r>
      <w:r w:rsidR="00F27533">
        <w:t xml:space="preserve"> and the 21</w:t>
      </w:r>
      <w:r w:rsidR="00F27533" w:rsidRPr="00F27533">
        <w:rPr>
          <w:vertAlign w:val="superscript"/>
        </w:rPr>
        <w:t>st</w:t>
      </w:r>
      <w:r w:rsidR="00F27533">
        <w:t xml:space="preserve"> ISSTT (Oxford, 2010)</w:t>
      </w:r>
      <w:r>
        <w:t xml:space="preserve">, which was in turn based on  “Sample IEEE Paper for A4 Page Size” </w:t>
      </w:r>
      <w:r>
        <w:rPr>
          <w:lang w:val="en-US"/>
        </w:rPr>
        <w:t>provided by courtesy of Causal Productions (www.causalproductions.com).</w:t>
      </w:r>
    </w:p>
    <w:p w:rsidR="007851F8" w:rsidRDefault="007851F8">
      <w:pPr>
        <w:pStyle w:val="IEEEHeading1"/>
        <w:numPr>
          <w:ilvl w:val="0"/>
          <w:numId w:val="0"/>
        </w:numPr>
        <w:rPr>
          <w:lang w:val="en-US"/>
        </w:rPr>
      </w:pPr>
      <w:r>
        <w:rPr>
          <w:lang w:val="en-US"/>
        </w:rPr>
        <w:t>Acknowledgment</w:t>
      </w:r>
    </w:p>
    <w:p w:rsidR="007851F8" w:rsidRDefault="007851F8">
      <w:pPr>
        <w:pStyle w:val="IEEEParagraph"/>
        <w:rPr>
          <w:lang w:val="en-GB"/>
        </w:rPr>
      </w:pPr>
      <w:r>
        <w:rPr>
          <w:lang w:val="en-GB"/>
        </w:rPr>
        <w:t>The heading of the Acknowledgment section and the References section must not be numbered.</w:t>
      </w:r>
    </w:p>
    <w:p w:rsidR="007851F8" w:rsidRDefault="007851F8">
      <w:pPr>
        <w:pStyle w:val="IEEEHeading1"/>
        <w:numPr>
          <w:ilvl w:val="0"/>
          <w:numId w:val="0"/>
        </w:numPr>
      </w:pPr>
      <w:r>
        <w:t>References</w:t>
      </w:r>
    </w:p>
    <w:p w:rsidR="00945D9D" w:rsidRDefault="00945D9D" w:rsidP="00945D9D">
      <w:pPr>
        <w:pStyle w:val="IEEEReferenceItem"/>
        <w:numPr>
          <w:ilvl w:val="0"/>
          <w:numId w:val="0"/>
        </w:numPr>
        <w:ind w:left="432" w:hanging="432"/>
      </w:pPr>
    </w:p>
    <w:p w:rsidR="007851F8" w:rsidRDefault="007851F8">
      <w:pPr>
        <w:pStyle w:val="IEEEReferenceItem"/>
        <w:sectPr w:rsidR="007851F8" w:rsidSect="000A2F75">
          <w:headerReference w:type="even" r:id="rId13"/>
          <w:headerReference w:type="first" r:id="rId14"/>
          <w:footnotePr>
            <w:pos w:val="beneathText"/>
          </w:footnotePr>
          <w:type w:val="continuous"/>
          <w:pgSz w:w="12240" w:h="15840" w:code="1"/>
          <w:pgMar w:top="1008" w:right="936" w:bottom="1008" w:left="936" w:header="706" w:footer="720" w:gutter="0"/>
          <w:cols w:num="2" w:space="284"/>
          <w:docGrid w:linePitch="360"/>
        </w:sectPr>
      </w:pPr>
    </w:p>
    <w:p w:rsidR="007851F8" w:rsidRDefault="007851F8">
      <w:pPr>
        <w:pStyle w:val="IEEEParagraph"/>
      </w:pPr>
    </w:p>
    <w:sectPr w:rsidR="007851F8" w:rsidSect="000A2F75">
      <w:headerReference w:type="even" r:id="rId15"/>
      <w:headerReference w:type="default" r:id="rId16"/>
      <w:headerReference w:type="first" r:id="rId17"/>
      <w:footnotePr>
        <w:pos w:val="beneathText"/>
      </w:footnotePr>
      <w:type w:val="continuous"/>
      <w:pgSz w:w="12240" w:h="15840" w:code="1"/>
      <w:pgMar w:top="1276" w:right="868" w:bottom="1871" w:left="868" w:header="709"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3ACB" w:rsidRDefault="00863ACB">
      <w:r>
        <w:separator/>
      </w:r>
    </w:p>
  </w:endnote>
  <w:endnote w:type="continuationSeparator" w:id="0">
    <w:p w:rsidR="00863ACB" w:rsidRDefault="00863A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charset w:val="00"/>
    <w:family w:val="swiss"/>
    <w:pitch w:val="variable"/>
    <w:sig w:usb0="E7002EFF" w:usb1="5200FDFF" w:usb2="0A042021"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3ACB" w:rsidRDefault="00863ACB">
      <w:r>
        <w:separator/>
      </w:r>
    </w:p>
  </w:footnote>
  <w:footnote w:type="continuationSeparator" w:id="0">
    <w:p w:rsidR="00863ACB" w:rsidRDefault="00863AC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834" w:rsidRPr="00E77A20" w:rsidRDefault="00CD1834" w:rsidP="00CD1834">
    <w:pPr>
      <w:pStyle w:val="Header"/>
      <w:rPr>
        <w:iCs/>
        <w:caps/>
        <w:sz w:val="16"/>
        <w:szCs w:val="16"/>
        <w:lang w:val="en-GB"/>
      </w:rPr>
    </w:pPr>
    <w:r w:rsidRPr="00E77A20">
      <w:rPr>
        <w:iCs/>
        <w:caps/>
        <w:sz w:val="16"/>
        <w:szCs w:val="16"/>
        <w:lang w:val="en-GB"/>
      </w:rPr>
      <w:t>21</w:t>
    </w:r>
    <w:r>
      <w:rPr>
        <w:iCs/>
        <w:caps/>
        <w:sz w:val="16"/>
        <w:szCs w:val="16"/>
        <w:lang w:val="en-GB"/>
      </w:rPr>
      <w:t xml:space="preserve">ST </w:t>
    </w:r>
    <w:r w:rsidRPr="00E77A20">
      <w:rPr>
        <w:iCs/>
        <w:caps/>
        <w:sz w:val="16"/>
        <w:szCs w:val="16"/>
        <w:lang w:val="en-GB"/>
      </w:rPr>
      <w:t xml:space="preserve">International Symposium on Space Terahertz Technology, </w:t>
    </w:r>
    <w:smartTag w:uri="urn:schemas-microsoft-com:office:smarttags" w:element="place">
      <w:smartTag w:uri="urn:schemas-microsoft-com:office:smarttags" w:element="City">
        <w:r w:rsidRPr="00E77A20">
          <w:rPr>
            <w:iCs/>
            <w:caps/>
            <w:sz w:val="16"/>
            <w:szCs w:val="16"/>
            <w:lang w:val="en-GB"/>
          </w:rPr>
          <w:t>Oxford</w:t>
        </w:r>
      </w:smartTag>
    </w:smartTag>
    <w:r w:rsidRPr="00E77A20">
      <w:rPr>
        <w:iCs/>
        <w:caps/>
        <w:sz w:val="16"/>
        <w:szCs w:val="16"/>
        <w:lang w:val="en-GB"/>
      </w:rPr>
      <w:t>, 23-25 March, 2010</w:t>
    </w:r>
  </w:p>
  <w:p w:rsidR="00CD1834" w:rsidRPr="00CD1834" w:rsidRDefault="00CD1834">
    <w:pPr>
      <w:pStyle w:val="Header"/>
      <w:rPr>
        <w:lang w:val="en-GB"/>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834" w:rsidRPr="00E77A20" w:rsidRDefault="00CD1834" w:rsidP="00CD1834">
    <w:pPr>
      <w:pStyle w:val="Header"/>
      <w:jc w:val="right"/>
      <w:rPr>
        <w:iCs/>
        <w:caps/>
        <w:sz w:val="16"/>
        <w:szCs w:val="16"/>
        <w:lang w:val="en-GB"/>
      </w:rPr>
    </w:pPr>
    <w:r w:rsidRPr="00E77A20">
      <w:rPr>
        <w:iCs/>
        <w:caps/>
        <w:sz w:val="16"/>
        <w:szCs w:val="16"/>
        <w:lang w:val="en-GB"/>
      </w:rPr>
      <w:t>2</w:t>
    </w:r>
    <w:r w:rsidR="00794878">
      <w:rPr>
        <w:iCs/>
        <w:caps/>
        <w:sz w:val="16"/>
        <w:szCs w:val="16"/>
        <w:lang w:val="en-GB"/>
      </w:rPr>
      <w:t>6th</w:t>
    </w:r>
    <w:r>
      <w:rPr>
        <w:iCs/>
        <w:caps/>
        <w:sz w:val="16"/>
        <w:szCs w:val="16"/>
        <w:lang w:val="en-GB"/>
      </w:rPr>
      <w:t xml:space="preserve"> </w:t>
    </w:r>
    <w:r w:rsidRPr="00E77A20">
      <w:rPr>
        <w:iCs/>
        <w:caps/>
        <w:sz w:val="16"/>
        <w:szCs w:val="16"/>
        <w:lang w:val="en-GB"/>
      </w:rPr>
      <w:t xml:space="preserve">International Symposium on Space Terahertz Technology, </w:t>
    </w:r>
    <w:r w:rsidR="00794878">
      <w:rPr>
        <w:iCs/>
        <w:caps/>
        <w:sz w:val="16"/>
        <w:szCs w:val="16"/>
        <w:lang w:val="en-GB"/>
      </w:rPr>
      <w:t>Cambridge, MA, 16-18 March, 2015</w:t>
    </w:r>
  </w:p>
  <w:p w:rsidR="00CD1834" w:rsidRPr="00CD1834" w:rsidRDefault="00CD1834">
    <w:pPr>
      <w:rPr>
        <w:lang w:val="en-GB"/>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834" w:rsidRDefault="00CD1834"/>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834" w:rsidRDefault="00CD1834"/>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834" w:rsidRDefault="00CD1834"/>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834" w:rsidRDefault="00CD1834"/>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936"/>
        </w:tabs>
        <w:ind w:left="936" w:hanging="720"/>
      </w:pPr>
    </w:lvl>
    <w:lvl w:ilvl="2">
      <w:start w:val="1"/>
      <w:numFmt w:val="decimal"/>
      <w:pStyle w:val="Heading3"/>
      <w:lvlText w:val="%3)"/>
      <w:lvlJc w:val="left"/>
      <w:pPr>
        <w:tabs>
          <w:tab w:val="num" w:pos="360"/>
        </w:tabs>
        <w:ind w:left="360" w:hanging="36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1" w15:restartNumberingAfterBreak="0">
    <w:nsid w:val="00000002"/>
    <w:multiLevelType w:val="multilevel"/>
    <w:tmpl w:val="00000002"/>
    <w:name w:val="WW8Num3"/>
    <w:lvl w:ilvl="0">
      <w:start w:val="1"/>
      <w:numFmt w:val="upperRoman"/>
      <w:pStyle w:val="IEEEHeading1"/>
      <w:lvlText w:val="%1."/>
      <w:lvlJc w:val="left"/>
      <w:pPr>
        <w:tabs>
          <w:tab w:val="num" w:pos="288"/>
        </w:tabs>
        <w:ind w:left="288" w:hanging="288"/>
      </w:pPr>
      <w:rPr>
        <w:rFonts w:ascii="Times New Roman" w:eastAsia="Arial Unicode MS" w:hAnsi="Times New Roman" w:cs="Times New Roman"/>
        <w:b w:val="0"/>
        <w:bCs w:val="0"/>
        <w:i w:val="0"/>
        <w:iCs w:val="0"/>
        <w:caps/>
        <w:strike w:val="0"/>
        <w:dstrike w:val="0"/>
        <w:vanish w:val="0"/>
        <w:color w:val="000000"/>
        <w:spacing w:val="0"/>
        <w:kern w:val="1"/>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3"/>
    <w:multiLevelType w:val="multilevel"/>
    <w:tmpl w:val="00000003"/>
    <w:name w:val="WW8Num19"/>
    <w:lvl w:ilvl="0">
      <w:start w:val="1"/>
      <w:numFmt w:val="decimal"/>
      <w:pStyle w:val="IEEEReferenceItem"/>
      <w:lvlText w:val="[%1]"/>
      <w:lvlJc w:val="left"/>
      <w:pPr>
        <w:tabs>
          <w:tab w:val="num" w:pos="432"/>
        </w:tabs>
        <w:ind w:left="432" w:hanging="432"/>
      </w:pPr>
    </w:lvl>
    <w:lvl w:ilvl="1">
      <w:start w:val="1"/>
      <w:numFmt w:val="decimal"/>
      <w:lvlText w:val="%1.%2)"/>
      <w:lvlJc w:val="left"/>
      <w:pPr>
        <w:tabs>
          <w:tab w:val="num" w:pos="936"/>
        </w:tabs>
        <w:ind w:left="936" w:hanging="720"/>
      </w:pPr>
    </w:lvl>
    <w:lvl w:ilvl="2">
      <w:start w:val="1"/>
      <w:numFmt w:val="decimal"/>
      <w:lvlText w:val="%3)"/>
      <w:lvlJc w:val="left"/>
      <w:pPr>
        <w:tabs>
          <w:tab w:val="num" w:pos="360"/>
        </w:tabs>
        <w:ind w:left="360" w:hanging="36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3" w15:restartNumberingAfterBreak="0">
    <w:nsid w:val="00000004"/>
    <w:multiLevelType w:val="multilevel"/>
    <w:tmpl w:val="00000004"/>
    <w:name w:val="WW8Num21"/>
    <w:lvl w:ilvl="0">
      <w:start w:val="1"/>
      <w:numFmt w:val="bullet"/>
      <w:lvlText w:val=""/>
      <w:lvlJc w:val="left"/>
      <w:pPr>
        <w:tabs>
          <w:tab w:val="num" w:pos="432"/>
        </w:tabs>
        <w:ind w:left="432" w:hanging="144"/>
      </w:pPr>
      <w:rPr>
        <w:rFonts w:ascii="Symbol" w:hAnsi="Symbol" w:cs="Times New Roman"/>
        <w:sz w:val="20"/>
        <w:szCs w:val="16"/>
      </w:rPr>
    </w:lvl>
    <w:lvl w:ilvl="1">
      <w:start w:val="1"/>
      <w:numFmt w:val="bullet"/>
      <w:lvlText w:val=""/>
      <w:lvlJc w:val="left"/>
      <w:pPr>
        <w:tabs>
          <w:tab w:val="num" w:pos="288"/>
        </w:tabs>
        <w:ind w:left="288" w:hanging="288"/>
      </w:pPr>
      <w:rPr>
        <w:rFonts w:ascii="Symbol" w:hAnsi="Symbol"/>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name w:val="WW8Num32"/>
    <w:lvl w:ilvl="0">
      <w:start w:val="1"/>
      <w:numFmt w:val="upperLetter"/>
      <w:lvlText w:val="%1."/>
      <w:lvlJc w:val="left"/>
      <w:pPr>
        <w:tabs>
          <w:tab w:val="num" w:pos="288"/>
        </w:tabs>
        <w:ind w:left="288" w:hanging="288"/>
      </w:pPr>
      <w:rPr>
        <w:rFonts w:ascii="Times New Roman" w:eastAsia="Arial Unicode MS" w:hAnsi="Times New Roman" w:cs="Times New Roman"/>
        <w:b w:val="0"/>
        <w:bCs/>
        <w:i/>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00000006"/>
    <w:multiLevelType w:val="multilevel"/>
    <w:tmpl w:val="00000006"/>
    <w:name w:val="WW8Num42"/>
    <w:lvl w:ilvl="0">
      <w:start w:val="1"/>
      <w:numFmt w:val="decimal"/>
      <w:pStyle w:val="IEEEHeading3"/>
      <w:suff w:val="nothing"/>
      <w:lvlText w:val="%1)  "/>
      <w:lvlJc w:val="left"/>
      <w:pPr>
        <w:tabs>
          <w:tab w:val="num" w:pos="0"/>
        </w:tabs>
        <w:ind w:left="0" w:firstLine="0"/>
      </w:pPr>
    </w:lvl>
    <w:lvl w:ilvl="1">
      <w:start w:val="1"/>
      <w:numFmt w:val="decimal"/>
      <w:lvlText w:val="%1.%2)"/>
      <w:lvlJc w:val="left"/>
      <w:pPr>
        <w:tabs>
          <w:tab w:val="num" w:pos="936"/>
        </w:tabs>
        <w:ind w:left="936" w:hanging="720"/>
      </w:pPr>
    </w:lvl>
    <w:lvl w:ilvl="2">
      <w:start w:val="1"/>
      <w:numFmt w:val="decimal"/>
      <w:lvlText w:val="%1.%2.%3."/>
      <w:lvlJc w:val="left"/>
      <w:pPr>
        <w:tabs>
          <w:tab w:val="num" w:pos="936"/>
        </w:tabs>
        <w:ind w:left="936" w:hanging="72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6" w15:restartNumberingAfterBreak="0">
    <w:nsid w:val="00000007"/>
    <w:multiLevelType w:val="multilevel"/>
    <w:tmpl w:val="00000007"/>
    <w:lvl w:ilvl="0">
      <w:start w:val="1"/>
      <w:numFmt w:val="upperLetter"/>
      <w:pStyle w:val="IEEEHeading2"/>
      <w:lvlText w:val="%1."/>
      <w:lvlJc w:val="left"/>
      <w:pPr>
        <w:tabs>
          <w:tab w:val="num" w:pos="288"/>
        </w:tabs>
        <w:ind w:left="288" w:hanging="288"/>
      </w:pPr>
      <w:rPr>
        <w:rFonts w:ascii="Times New Roman" w:eastAsia="Arial Unicode MS" w:hAnsi="Times New Roman" w:cs="Times New Roman"/>
        <w:b w:val="0"/>
        <w:bCs/>
        <w:i/>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944"/>
    <w:rsid w:val="00033350"/>
    <w:rsid w:val="00042521"/>
    <w:rsid w:val="00056F3D"/>
    <w:rsid w:val="000721F0"/>
    <w:rsid w:val="00092844"/>
    <w:rsid w:val="000955A3"/>
    <w:rsid w:val="000A0B76"/>
    <w:rsid w:val="000A2F75"/>
    <w:rsid w:val="000B0134"/>
    <w:rsid w:val="000D4146"/>
    <w:rsid w:val="000E4313"/>
    <w:rsid w:val="000E705A"/>
    <w:rsid w:val="000F148B"/>
    <w:rsid w:val="00122F9E"/>
    <w:rsid w:val="00126A86"/>
    <w:rsid w:val="0013298B"/>
    <w:rsid w:val="00180393"/>
    <w:rsid w:val="00195690"/>
    <w:rsid w:val="001A0EA0"/>
    <w:rsid w:val="001A1C10"/>
    <w:rsid w:val="001B6864"/>
    <w:rsid w:val="001B69EB"/>
    <w:rsid w:val="00205408"/>
    <w:rsid w:val="00223787"/>
    <w:rsid w:val="002256F9"/>
    <w:rsid w:val="002306FA"/>
    <w:rsid w:val="002441A9"/>
    <w:rsid w:val="0025058B"/>
    <w:rsid w:val="0025664D"/>
    <w:rsid w:val="002A3374"/>
    <w:rsid w:val="002C1149"/>
    <w:rsid w:val="00321919"/>
    <w:rsid w:val="00341198"/>
    <w:rsid w:val="00363D49"/>
    <w:rsid w:val="00367969"/>
    <w:rsid w:val="00380B24"/>
    <w:rsid w:val="00391664"/>
    <w:rsid w:val="003A6C58"/>
    <w:rsid w:val="003C4591"/>
    <w:rsid w:val="003E0409"/>
    <w:rsid w:val="003F3482"/>
    <w:rsid w:val="004029F4"/>
    <w:rsid w:val="00417929"/>
    <w:rsid w:val="0042097C"/>
    <w:rsid w:val="0042639F"/>
    <w:rsid w:val="00441232"/>
    <w:rsid w:val="00441ECB"/>
    <w:rsid w:val="00465A7A"/>
    <w:rsid w:val="0048750B"/>
    <w:rsid w:val="0049763C"/>
    <w:rsid w:val="004B17B8"/>
    <w:rsid w:val="004D2911"/>
    <w:rsid w:val="004D6A2A"/>
    <w:rsid w:val="004F1C51"/>
    <w:rsid w:val="005626BE"/>
    <w:rsid w:val="00571D3E"/>
    <w:rsid w:val="005A0140"/>
    <w:rsid w:val="005A3668"/>
    <w:rsid w:val="005B2D41"/>
    <w:rsid w:val="005D0700"/>
    <w:rsid w:val="00621CE8"/>
    <w:rsid w:val="006620E9"/>
    <w:rsid w:val="006703BB"/>
    <w:rsid w:val="00685664"/>
    <w:rsid w:val="00685FD8"/>
    <w:rsid w:val="0069371C"/>
    <w:rsid w:val="006A25D4"/>
    <w:rsid w:val="006C7E56"/>
    <w:rsid w:val="007104EF"/>
    <w:rsid w:val="007319B8"/>
    <w:rsid w:val="00754D96"/>
    <w:rsid w:val="00772DB1"/>
    <w:rsid w:val="007851F8"/>
    <w:rsid w:val="00794878"/>
    <w:rsid w:val="007D1829"/>
    <w:rsid w:val="007D2FF2"/>
    <w:rsid w:val="007D445F"/>
    <w:rsid w:val="007E0DB3"/>
    <w:rsid w:val="007E3ADD"/>
    <w:rsid w:val="00821944"/>
    <w:rsid w:val="008470D3"/>
    <w:rsid w:val="008536AA"/>
    <w:rsid w:val="00863AA0"/>
    <w:rsid w:val="00863ACB"/>
    <w:rsid w:val="008A1632"/>
    <w:rsid w:val="008A6D5B"/>
    <w:rsid w:val="008F2BA4"/>
    <w:rsid w:val="008F6574"/>
    <w:rsid w:val="009024B6"/>
    <w:rsid w:val="009156E4"/>
    <w:rsid w:val="009347DE"/>
    <w:rsid w:val="00943742"/>
    <w:rsid w:val="00944641"/>
    <w:rsid w:val="00945D9D"/>
    <w:rsid w:val="0097135E"/>
    <w:rsid w:val="009958BD"/>
    <w:rsid w:val="009A32AB"/>
    <w:rsid w:val="009C1E84"/>
    <w:rsid w:val="009C2893"/>
    <w:rsid w:val="00A02C8C"/>
    <w:rsid w:val="00A05F10"/>
    <w:rsid w:val="00A133E9"/>
    <w:rsid w:val="00A16859"/>
    <w:rsid w:val="00A24571"/>
    <w:rsid w:val="00A36EF4"/>
    <w:rsid w:val="00A6732B"/>
    <w:rsid w:val="00A720D4"/>
    <w:rsid w:val="00A76BE0"/>
    <w:rsid w:val="00A95AD0"/>
    <w:rsid w:val="00AC71B1"/>
    <w:rsid w:val="00B1242C"/>
    <w:rsid w:val="00B2126C"/>
    <w:rsid w:val="00B22214"/>
    <w:rsid w:val="00B36DA5"/>
    <w:rsid w:val="00B61595"/>
    <w:rsid w:val="00B84BA7"/>
    <w:rsid w:val="00BC5E75"/>
    <w:rsid w:val="00BC64D7"/>
    <w:rsid w:val="00BD64E0"/>
    <w:rsid w:val="00BF4F6E"/>
    <w:rsid w:val="00C65496"/>
    <w:rsid w:val="00C83E46"/>
    <w:rsid w:val="00C919B3"/>
    <w:rsid w:val="00C919EC"/>
    <w:rsid w:val="00C976FC"/>
    <w:rsid w:val="00CB6FB8"/>
    <w:rsid w:val="00CD1834"/>
    <w:rsid w:val="00D64887"/>
    <w:rsid w:val="00D80171"/>
    <w:rsid w:val="00DB200D"/>
    <w:rsid w:val="00E32ECD"/>
    <w:rsid w:val="00E3507D"/>
    <w:rsid w:val="00E37DAA"/>
    <w:rsid w:val="00E45D58"/>
    <w:rsid w:val="00E52561"/>
    <w:rsid w:val="00E56977"/>
    <w:rsid w:val="00E726B5"/>
    <w:rsid w:val="00E77A20"/>
    <w:rsid w:val="00E77A98"/>
    <w:rsid w:val="00EB1C3A"/>
    <w:rsid w:val="00ED142D"/>
    <w:rsid w:val="00ED328F"/>
    <w:rsid w:val="00ED371A"/>
    <w:rsid w:val="00EF16F6"/>
    <w:rsid w:val="00EF64CE"/>
    <w:rsid w:val="00EF6753"/>
    <w:rsid w:val="00F172ED"/>
    <w:rsid w:val="00F27533"/>
    <w:rsid w:val="00F30502"/>
    <w:rsid w:val="00F325E3"/>
    <w:rsid w:val="00F4558C"/>
    <w:rsid w:val="00F46715"/>
    <w:rsid w:val="00F566E9"/>
    <w:rsid w:val="00FA0020"/>
    <w:rsid w:val="00FC5E3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State"/>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1026"/>
    <o:shapelayout v:ext="edit">
      <o:idmap v:ext="edit" data="1"/>
    </o:shapelayout>
  </w:shapeDefaults>
  <w:decimalSymbol w:val="."/>
  <w:listSeparator w:val=","/>
  <w14:docId w14:val="57B91B77"/>
  <w15:chartTrackingRefBased/>
  <w15:docId w15:val="{DEA7A846-94BB-43F0-96DC-36FB9BAF7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eastAsia="SimSun"/>
      <w:sz w:val="24"/>
      <w:szCs w:val="24"/>
      <w:lang w:val="en-AU" w:eastAsia="ar-SA"/>
    </w:rPr>
  </w:style>
  <w:style w:type="paragraph" w:styleId="Heading1">
    <w:name w:val="heading 1"/>
    <w:basedOn w:val="Normal"/>
    <w:next w:val="Normal"/>
    <w:qFormat/>
    <w:pPr>
      <w:keepNext/>
      <w:spacing w:before="240" w:after="60"/>
      <w:outlineLvl w:val="0"/>
    </w:pPr>
    <w:rPr>
      <w:rFonts w:ascii="Arial" w:hAnsi="Arial" w:cs="Arial"/>
      <w:b/>
      <w:bCs/>
      <w:kern w:val="1"/>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Times New Roman" w:eastAsia="Arial Unicode MS" w:hAnsi="Times New Roman" w:cs="Times New Roman"/>
      <w:b w:val="0"/>
      <w:bCs w:val="0"/>
      <w:i w:val="0"/>
      <w:iCs w:val="0"/>
      <w:caps/>
      <w:strike w:val="0"/>
      <w:dstrike w:val="0"/>
      <w:vanish w:val="0"/>
      <w:color w:val="000000"/>
      <w:spacing w:val="0"/>
      <w:kern w:val="1"/>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1">
    <w:name w:val="WW8Num3z1"/>
    <w:rPr>
      <w:rFonts w:ascii="Times New Roman" w:hAnsi="Times New Roman"/>
      <w:b w:val="0"/>
      <w:i w:val="0"/>
      <w:sz w:val="20"/>
    </w:rPr>
  </w:style>
  <w:style w:type="character" w:customStyle="1" w:styleId="WW8Num6z0">
    <w:name w:val="WW8Num6z0"/>
    <w:rPr>
      <w:rFonts w:ascii="Times New Roman" w:eastAsia="Arial Unicode MS" w:hAnsi="Times New Roman" w:cs="Times New Roman"/>
      <w:bCs/>
      <w:i w:val="0"/>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1">
    <w:name w:val="WW8Num6z1"/>
    <w:rPr>
      <w:rFonts w:ascii="Symbol" w:eastAsia="SimSun" w:hAnsi="Symbol"/>
      <w:b/>
      <w:bCs/>
      <w:caps/>
      <w:color w:val="000000"/>
      <w:sz w:val="16"/>
      <w:szCs w:val="24"/>
    </w:rPr>
  </w:style>
  <w:style w:type="character" w:customStyle="1" w:styleId="WW8Num8z0">
    <w:name w:val="WW8Num8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8z1">
    <w:name w:val="WW8Num8z1"/>
    <w:rPr>
      <w:rFonts w:ascii="Times New Roman" w:hAnsi="Times New Roman"/>
      <w:b w:val="0"/>
      <w:i w:val="0"/>
      <w:sz w:val="20"/>
    </w:rPr>
  </w:style>
  <w:style w:type="character" w:customStyle="1" w:styleId="WW8Num14z1">
    <w:name w:val="WW8Num14z1"/>
    <w:rPr>
      <w:rFonts w:ascii="Symbol" w:hAnsi="Symbol"/>
      <w:sz w:val="16"/>
    </w:rPr>
  </w:style>
  <w:style w:type="character" w:customStyle="1" w:styleId="WW8Num15z0">
    <w:name w:val="WW8Num15z0"/>
    <w:rPr>
      <w:rFonts w:ascii="Times New Roman" w:hAnsi="Times New Roman" w:cs="Times New Roman"/>
      <w:b w:val="0"/>
      <w:i w:val="0"/>
      <w:sz w:val="20"/>
      <w:szCs w:val="16"/>
    </w:rPr>
  </w:style>
  <w:style w:type="character" w:customStyle="1" w:styleId="WW8Num15z1">
    <w:name w:val="WW8Num15z1"/>
    <w:rPr>
      <w:rFonts w:ascii="Symbol" w:eastAsia="SimSun" w:hAnsi="Symbol"/>
      <w:sz w:val="16"/>
      <w:szCs w:val="24"/>
    </w:rPr>
  </w:style>
  <w:style w:type="character" w:customStyle="1" w:styleId="WW8Num16z0">
    <w:name w:val="WW8Num16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6z1">
    <w:name w:val="WW8Num16z1"/>
    <w:rPr>
      <w:rFonts w:ascii="Times New Roman" w:hAnsi="Times New Roman"/>
      <w:b w:val="0"/>
      <w:i w:val="0"/>
      <w:sz w:val="20"/>
    </w:rPr>
  </w:style>
  <w:style w:type="character" w:customStyle="1" w:styleId="WW8Num21z0">
    <w:name w:val="WW8Num21z0"/>
    <w:rPr>
      <w:rFonts w:ascii="Symbol" w:hAnsi="Symbol" w:cs="Times New Roman"/>
      <w:sz w:val="20"/>
      <w:szCs w:val="16"/>
    </w:rPr>
  </w:style>
  <w:style w:type="character" w:customStyle="1" w:styleId="WW8Num21z1">
    <w:name w:val="WW8Num21z1"/>
    <w:rPr>
      <w:rFonts w:ascii="Symbol" w:eastAsia="SimSun" w:hAnsi="Symbol"/>
      <w:sz w:val="16"/>
      <w:szCs w:val="24"/>
    </w:rPr>
  </w:style>
  <w:style w:type="character" w:customStyle="1" w:styleId="WW8Num23z0">
    <w:name w:val="WW8Num23z0"/>
    <w:rPr>
      <w:rFonts w:ascii="Symbol" w:hAnsi="Symbol" w:cs="Times New Roman"/>
      <w:sz w:val="20"/>
      <w:szCs w:val="16"/>
    </w:rPr>
  </w:style>
  <w:style w:type="character" w:customStyle="1" w:styleId="WW8Num23z1">
    <w:name w:val="WW8Num23z1"/>
    <w:rPr>
      <w:rFonts w:ascii="Symbol" w:eastAsia="SimSun" w:hAnsi="Symbol"/>
      <w:sz w:val="16"/>
      <w:szCs w:val="24"/>
    </w:rPr>
  </w:style>
  <w:style w:type="character" w:customStyle="1" w:styleId="WW8Num24z1">
    <w:name w:val="WW8Num24z1"/>
    <w:rPr>
      <w:rFonts w:ascii="Symbol" w:hAnsi="Symbol"/>
      <w:sz w:val="16"/>
    </w:rPr>
  </w:style>
  <w:style w:type="character" w:customStyle="1" w:styleId="WW8Num26z1">
    <w:name w:val="WW8Num26z1"/>
    <w:rPr>
      <w:rFonts w:ascii="Symbol" w:eastAsia="SimSun" w:hAnsi="Symbol"/>
      <w:sz w:val="16"/>
      <w:szCs w:val="24"/>
    </w:rPr>
  </w:style>
  <w:style w:type="character" w:customStyle="1" w:styleId="WW8Num28z0">
    <w:name w:val="WW8Num28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8z1">
    <w:name w:val="WW8Num28z1"/>
    <w:rPr>
      <w:rFonts w:ascii="Symbol" w:hAnsi="Symbol"/>
      <w:b/>
      <w:bCs/>
      <w:i w:val="0"/>
      <w:iCs w:val="0"/>
      <w:caps/>
      <w:strike w:val="0"/>
      <w:dstrike w:val="0"/>
      <w:vanish w:val="0"/>
      <w:color w:val="000000"/>
      <w:spacing w:val="0"/>
      <w:kern w:val="1"/>
      <w:position w:val="0"/>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9z0">
    <w:name w:val="WW8Num29z0"/>
    <w:rPr>
      <w:rFonts w:ascii="Symbol" w:hAnsi="Symbol" w:cs="Times New Roman"/>
      <w:sz w:val="16"/>
      <w:szCs w:val="16"/>
    </w:rPr>
  </w:style>
  <w:style w:type="character" w:customStyle="1" w:styleId="WW8Num29z1">
    <w:name w:val="WW8Num29z1"/>
    <w:rPr>
      <w:rFonts w:ascii="Symbol" w:eastAsia="SimSun" w:hAnsi="Symbol"/>
      <w:sz w:val="16"/>
      <w:szCs w:val="24"/>
    </w:rPr>
  </w:style>
  <w:style w:type="character" w:customStyle="1" w:styleId="WW8Num31z1">
    <w:name w:val="WW8Num31z1"/>
    <w:rPr>
      <w:rFonts w:ascii="Symbol" w:hAnsi="Symbol"/>
      <w:sz w:val="16"/>
    </w:rPr>
  </w:style>
  <w:style w:type="character" w:customStyle="1" w:styleId="WW8Num32z0">
    <w:name w:val="WW8Num32z0"/>
    <w:rPr>
      <w:rFonts w:ascii="Times New Roman" w:eastAsia="Arial Unicode MS" w:hAnsi="Times New Roman" w:cs="Times New Roman"/>
      <w:b w:val="0"/>
      <w:bCs/>
      <w:i/>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2z1">
    <w:name w:val="WW8Num32z1"/>
    <w:rPr>
      <w:rFonts w:ascii="Times New Roman" w:hAnsi="Times New Roman"/>
      <w:b w:val="0"/>
      <w:i w:val="0"/>
      <w:sz w:val="20"/>
    </w:rPr>
  </w:style>
  <w:style w:type="character" w:customStyle="1" w:styleId="WW8Num34z0">
    <w:name w:val="WW8Num34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4z1">
    <w:name w:val="WW8Num34z1"/>
    <w:rPr>
      <w:rFonts w:ascii="Symbol" w:hAnsi="Symbol"/>
      <w:b/>
      <w:bCs/>
      <w:i w:val="0"/>
      <w:iCs w:val="0"/>
      <w:caps/>
      <w:strike w:val="0"/>
      <w:dstrike w:val="0"/>
      <w:vanish w:val="0"/>
      <w:color w:val="000000"/>
      <w:spacing w:val="0"/>
      <w:kern w:val="1"/>
      <w:position w:val="0"/>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6z1">
    <w:name w:val="WW8Num36z1"/>
    <w:rPr>
      <w:rFonts w:ascii="Symbol" w:eastAsia="SimSun" w:hAnsi="Symbol"/>
      <w:sz w:val="16"/>
      <w:szCs w:val="24"/>
    </w:rPr>
  </w:style>
  <w:style w:type="character" w:customStyle="1" w:styleId="WW8Num40z1">
    <w:name w:val="WW8Num40z1"/>
    <w:rPr>
      <w:rFonts w:ascii="Symbol" w:hAnsi="Symbol"/>
      <w:sz w:val="16"/>
    </w:rPr>
  </w:style>
  <w:style w:type="character" w:customStyle="1" w:styleId="WW8Num41z0">
    <w:name w:val="WW8Num41z0"/>
    <w:rPr>
      <w:rFonts w:ascii="Times New Roman" w:eastAsia="Arial Unicode MS" w:hAnsi="Times New Roman" w:cs="Times New Roman"/>
      <w:bCs/>
      <w:i w:val="0"/>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1z1">
    <w:name w:val="WW8Num41z1"/>
    <w:rPr>
      <w:rFonts w:ascii="Symbol" w:eastAsia="SimSun" w:hAnsi="Symbol"/>
      <w:b/>
      <w:bCs/>
      <w:caps/>
      <w:color w:val="000000"/>
      <w:sz w:val="16"/>
      <w:szCs w:val="24"/>
    </w:rPr>
  </w:style>
  <w:style w:type="character" w:customStyle="1" w:styleId="WW8Num43z0">
    <w:name w:val="WW8Num43z0"/>
    <w:rPr>
      <w:rFonts w:ascii="Symbol" w:hAnsi="Symbol" w:cs="Times New Roman"/>
      <w:sz w:val="20"/>
      <w:szCs w:val="16"/>
    </w:rPr>
  </w:style>
  <w:style w:type="character" w:customStyle="1" w:styleId="WW8Num43z1">
    <w:name w:val="WW8Num43z1"/>
    <w:rPr>
      <w:rFonts w:ascii="Symbol" w:eastAsia="SimSun" w:hAnsi="Symbol"/>
      <w:sz w:val="16"/>
      <w:szCs w:val="24"/>
    </w:rPr>
  </w:style>
  <w:style w:type="character" w:customStyle="1" w:styleId="WW8Num46z1">
    <w:name w:val="WW8Num46z1"/>
    <w:rPr>
      <w:rFonts w:ascii="Symbol" w:hAnsi="Symbol"/>
      <w:sz w:val="16"/>
    </w:rPr>
  </w:style>
  <w:style w:type="character" w:customStyle="1" w:styleId="WW8Num47z0">
    <w:name w:val="WW8Num47z0"/>
    <w:rPr>
      <w:rFonts w:ascii="Times" w:eastAsia="Arial Unicode MS" w:hAnsi="Times" w:cs="Times New Roman"/>
      <w:b w:val="0"/>
      <w:bCs/>
      <w:i w:val="0"/>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7z1">
    <w:name w:val="WW8Num47z1"/>
    <w:rPr>
      <w:rFonts w:ascii="Times New Roman" w:hAnsi="Times New Roman"/>
      <w:b w:val="0"/>
      <w:i w:val="0"/>
      <w:sz w:val="20"/>
    </w:rPr>
  </w:style>
  <w:style w:type="character" w:customStyle="1" w:styleId="IEEEAbstractHeadingChar">
    <w:name w:val="IEEE Abstract Heading Char"/>
    <w:rPr>
      <w:rFonts w:eastAsia="SimSun"/>
      <w:b/>
      <w:i/>
      <w:sz w:val="18"/>
      <w:szCs w:val="24"/>
      <w:lang w:val="en-GB" w:eastAsia="ar-SA" w:bidi="ar-SA"/>
    </w:rPr>
  </w:style>
  <w:style w:type="character" w:customStyle="1" w:styleId="IEEEAbtractChar">
    <w:name w:val="IEEE Abtract Char"/>
    <w:rPr>
      <w:rFonts w:eastAsia="SimSun"/>
      <w:b/>
      <w:sz w:val="18"/>
      <w:szCs w:val="24"/>
      <w:lang w:val="en-GB" w:eastAsia="ar-SA" w:bidi="ar-SA"/>
    </w:rPr>
  </w:style>
  <w:style w:type="character" w:customStyle="1" w:styleId="IEEEParagraphChar">
    <w:name w:val="IEEE Paragraph Char"/>
    <w:rPr>
      <w:rFonts w:eastAsia="SimSun"/>
      <w:sz w:val="24"/>
      <w:szCs w:val="24"/>
      <w:lang w:val="en-AU" w:eastAsia="ar-SA" w:bidi="ar-SA"/>
    </w:rPr>
  </w:style>
  <w:style w:type="character" w:customStyle="1" w:styleId="IEEEHeading3Char">
    <w:name w:val="IEEE Heading 3 Char"/>
    <w:rPr>
      <w:rFonts w:eastAsia="SimSun"/>
      <w:i/>
      <w:szCs w:val="24"/>
      <w:lang w:val="en-AU" w:eastAsia="ar-SA" w:bidi="ar-SA"/>
    </w:rPr>
  </w:style>
  <w:style w:type="character" w:customStyle="1" w:styleId="CharChar2">
    <w:name w:val="Char Char2"/>
    <w:rPr>
      <w:rFonts w:ascii="Tahoma" w:hAnsi="Tahoma" w:cs="Tahoma"/>
      <w:sz w:val="16"/>
      <w:szCs w:val="16"/>
      <w:lang w:val="en-AU"/>
    </w:rPr>
  </w:style>
  <w:style w:type="character" w:styleId="CommentReference">
    <w:name w:val="annotation reference"/>
    <w:rPr>
      <w:sz w:val="16"/>
      <w:szCs w:val="16"/>
    </w:rPr>
  </w:style>
  <w:style w:type="character" w:customStyle="1" w:styleId="CharChar1">
    <w:name w:val="Char Char1"/>
    <w:rPr>
      <w:lang w:val="en-AU"/>
    </w:rPr>
  </w:style>
  <w:style w:type="character" w:customStyle="1" w:styleId="CharChar">
    <w:name w:val="Char Char"/>
    <w:rPr>
      <w:b/>
      <w:bCs/>
      <w:lang w:val="en-AU"/>
    </w:rPr>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Arial" w:eastAsia="Arial" w:hAnsi="Arial" w:cs="DejaVu Sans"/>
      <w:sz w:val="28"/>
      <w:szCs w:val="28"/>
    </w:rPr>
  </w:style>
  <w:style w:type="paragraph" w:styleId="BodyText">
    <w:name w:val="Body Text"/>
    <w:basedOn w:val="Normal"/>
    <w:pPr>
      <w:spacing w:after="120"/>
    </w:pPr>
  </w:style>
  <w:style w:type="paragraph" w:styleId="List">
    <w:name w:val="List"/>
    <w:basedOn w:val="BodyText"/>
    <w:rPr>
      <w:rFonts w:cs="DejaVu Sans"/>
    </w:rPr>
  </w:style>
  <w:style w:type="paragraph" w:styleId="Caption">
    <w:name w:val="caption"/>
    <w:basedOn w:val="Normal"/>
    <w:next w:val="Normal"/>
    <w:qFormat/>
    <w:pPr>
      <w:spacing w:before="120" w:after="120"/>
    </w:pPr>
    <w:rPr>
      <w:b/>
      <w:bCs/>
      <w:sz w:val="20"/>
      <w:szCs w:val="20"/>
    </w:rPr>
  </w:style>
  <w:style w:type="paragraph" w:customStyle="1" w:styleId="Index">
    <w:name w:val="Index"/>
    <w:basedOn w:val="Normal"/>
    <w:pPr>
      <w:suppressLineNumbers/>
    </w:pPr>
    <w:rPr>
      <w:rFonts w:cs="DejaVu Sans"/>
    </w:rPr>
  </w:style>
  <w:style w:type="paragraph" w:customStyle="1" w:styleId="IEEEAuthorName">
    <w:name w:val="IEEE Author Name"/>
    <w:basedOn w:val="Normal"/>
    <w:next w:val="Normal"/>
    <w:pPr>
      <w:snapToGrid w:val="0"/>
      <w:spacing w:before="120" w:after="120"/>
      <w:jc w:val="center"/>
    </w:pPr>
    <w:rPr>
      <w:rFonts w:eastAsia="Times New Roman"/>
      <w:sz w:val="22"/>
      <w:lang w:val="en-GB"/>
    </w:rPr>
  </w:style>
  <w:style w:type="paragraph" w:customStyle="1" w:styleId="IEEEAuthorAffiliation">
    <w:name w:val="IEEE Author Affiliation"/>
    <w:basedOn w:val="Normal"/>
    <w:next w:val="Normal"/>
    <w:pPr>
      <w:spacing w:after="60"/>
      <w:jc w:val="center"/>
    </w:pPr>
    <w:rPr>
      <w:rFonts w:eastAsia="Times New Roman"/>
      <w:i/>
      <w:sz w:val="20"/>
      <w:lang w:val="en-GB"/>
    </w:rPr>
  </w:style>
  <w:style w:type="paragraph" w:customStyle="1" w:styleId="IEEEHeading2">
    <w:name w:val="IEEE Heading 2"/>
    <w:basedOn w:val="Normal"/>
    <w:next w:val="IEEEParagraph"/>
    <w:pPr>
      <w:numPr>
        <w:numId w:val="7"/>
      </w:numPr>
      <w:snapToGrid w:val="0"/>
      <w:spacing w:before="150" w:after="60"/>
      <w:ind w:left="289" w:hanging="289"/>
    </w:pPr>
    <w:rPr>
      <w:i/>
      <w:sz w:val="20"/>
    </w:rPr>
  </w:style>
  <w:style w:type="paragraph" w:customStyle="1" w:styleId="IEEEAuthorEmail">
    <w:name w:val="IEEE Author Email"/>
    <w:next w:val="IEEEAuthorAffiliation"/>
    <w:pPr>
      <w:suppressAutoHyphens/>
      <w:spacing w:after="60"/>
      <w:jc w:val="center"/>
    </w:pPr>
    <w:rPr>
      <w:rFonts w:ascii="Courier" w:hAnsi="Courier"/>
      <w:sz w:val="18"/>
      <w:szCs w:val="24"/>
      <w:lang w:val="en-GB" w:eastAsia="ar-SA"/>
    </w:rPr>
  </w:style>
  <w:style w:type="paragraph" w:customStyle="1" w:styleId="IEEEAbtract">
    <w:name w:val="IEEE Abtract"/>
    <w:basedOn w:val="Normal"/>
    <w:next w:val="Normal"/>
    <w:pPr>
      <w:snapToGrid w:val="0"/>
      <w:jc w:val="both"/>
    </w:pPr>
    <w:rPr>
      <w:b/>
      <w:sz w:val="18"/>
      <w:lang w:val="en-GB"/>
    </w:rPr>
  </w:style>
  <w:style w:type="paragraph" w:customStyle="1" w:styleId="IEEEAbstractHeading">
    <w:name w:val="IEEE Abstract Heading"/>
    <w:basedOn w:val="IEEEAbtract"/>
    <w:next w:val="IEEEAbtract"/>
    <w:rPr>
      <w:i/>
    </w:rPr>
  </w:style>
  <w:style w:type="paragraph" w:customStyle="1" w:styleId="IEEEParagraph">
    <w:name w:val="IEEE Paragraph"/>
    <w:basedOn w:val="Normal"/>
    <w:pPr>
      <w:snapToGrid w:val="0"/>
      <w:ind w:firstLine="216"/>
      <w:jc w:val="both"/>
    </w:pPr>
    <w:rPr>
      <w:sz w:val="20"/>
    </w:rPr>
  </w:style>
  <w:style w:type="paragraph" w:customStyle="1" w:styleId="IEEEHeading1">
    <w:name w:val="IEEE Heading 1"/>
    <w:basedOn w:val="Normal"/>
    <w:next w:val="IEEEParagraph"/>
    <w:pPr>
      <w:numPr>
        <w:numId w:val="2"/>
      </w:numPr>
      <w:snapToGrid w:val="0"/>
      <w:spacing w:before="180" w:after="60"/>
      <w:ind w:left="289" w:hanging="289"/>
      <w:jc w:val="center"/>
    </w:pPr>
    <w:rPr>
      <w:smallCaps/>
      <w:sz w:val="20"/>
    </w:rPr>
  </w:style>
  <w:style w:type="paragraph" w:customStyle="1" w:styleId="IEEETableCell">
    <w:name w:val="IEEE Table Cell"/>
    <w:basedOn w:val="IEEEParagraph"/>
    <w:pPr>
      <w:ind w:firstLine="0"/>
      <w:jc w:val="left"/>
    </w:pPr>
    <w:rPr>
      <w:sz w:val="18"/>
    </w:rPr>
  </w:style>
  <w:style w:type="paragraph" w:customStyle="1" w:styleId="IEEETitle">
    <w:name w:val="IEEE Title"/>
    <w:basedOn w:val="Normal"/>
    <w:next w:val="IEEEAuthorName"/>
    <w:pPr>
      <w:snapToGrid w:val="0"/>
      <w:jc w:val="center"/>
    </w:pPr>
    <w:rPr>
      <w:sz w:val="48"/>
    </w:rPr>
  </w:style>
  <w:style w:type="paragraph" w:customStyle="1" w:styleId="IEEEHeading3">
    <w:name w:val="IEEE Heading 3"/>
    <w:basedOn w:val="Normal"/>
    <w:next w:val="IEEEParagraph"/>
    <w:pPr>
      <w:numPr>
        <w:numId w:val="6"/>
      </w:numPr>
      <w:snapToGrid w:val="0"/>
      <w:spacing w:before="120" w:after="60"/>
      <w:ind w:firstLine="216"/>
      <w:jc w:val="both"/>
    </w:pPr>
    <w:rPr>
      <w:i/>
      <w:sz w:val="20"/>
    </w:rPr>
  </w:style>
  <w:style w:type="paragraph" w:customStyle="1" w:styleId="IEEETableCaption">
    <w:name w:val="IEEE Table Caption"/>
    <w:basedOn w:val="Normal"/>
    <w:next w:val="IEEEParagraph"/>
    <w:pPr>
      <w:spacing w:before="120" w:after="120"/>
      <w:jc w:val="center"/>
    </w:pPr>
    <w:rPr>
      <w:smallCaps/>
      <w:sz w:val="16"/>
    </w:rPr>
  </w:style>
  <w:style w:type="paragraph" w:customStyle="1" w:styleId="IEEEFigureCaptionSingle-Line">
    <w:name w:val="IEEE Figure Caption Single-Line"/>
    <w:basedOn w:val="IEEETableCaption"/>
    <w:next w:val="IEEEParagraph"/>
    <w:rPr>
      <w:smallCaps w:val="0"/>
    </w:rPr>
  </w:style>
  <w:style w:type="paragraph" w:customStyle="1" w:styleId="IEEEFigure">
    <w:name w:val="IEEE Figure"/>
    <w:basedOn w:val="Normal"/>
    <w:next w:val="IEEEFigureCaptionSingle-Line"/>
    <w:pPr>
      <w:jc w:val="center"/>
    </w:pPr>
  </w:style>
  <w:style w:type="paragraph" w:customStyle="1" w:styleId="IEEEReferenceItem">
    <w:name w:val="IEEE Reference Item"/>
    <w:basedOn w:val="Normal"/>
    <w:pPr>
      <w:numPr>
        <w:numId w:val="3"/>
      </w:numPr>
      <w:snapToGrid w:val="0"/>
      <w:jc w:val="both"/>
    </w:pPr>
    <w:rPr>
      <w:sz w:val="16"/>
      <w:lang w:val="en-US"/>
    </w:rPr>
  </w:style>
  <w:style w:type="paragraph" w:customStyle="1" w:styleId="IEEEFigureCaptionMulti-Lines">
    <w:name w:val="IEEE Figure Caption Multi-Lines"/>
    <w:basedOn w:val="IEEEFigureCaptionSingle-Line"/>
    <w:next w:val="IEEEParagraph"/>
    <w:pPr>
      <w:jc w:val="both"/>
    </w:pPr>
  </w:style>
  <w:style w:type="paragraph" w:customStyle="1" w:styleId="IEEETableHeaderCentered">
    <w:name w:val="IEEE Table Header Centered"/>
    <w:basedOn w:val="IEEETableCell"/>
    <w:pPr>
      <w:jc w:val="center"/>
    </w:pPr>
    <w:rPr>
      <w:b/>
      <w:bCs/>
    </w:rPr>
  </w:style>
  <w:style w:type="paragraph" w:customStyle="1" w:styleId="IEEETableHeaderLeft-Justified">
    <w:name w:val="IEEE Table Header Left-Justified"/>
    <w:basedOn w:val="IEEETableCell"/>
    <w:rPr>
      <w:b/>
      <w:bCs/>
    </w:rPr>
  </w:style>
  <w:style w:type="paragraph" w:styleId="BalloonText">
    <w:name w:val="Balloon Text"/>
    <w:basedOn w:val="Normal"/>
    <w:rPr>
      <w:rFonts w:ascii="Tahoma" w:hAnsi="Tahoma" w:cs="Tahoma"/>
      <w:sz w:val="16"/>
      <w:szCs w:val="16"/>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rsid w:val="003E04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B1C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047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A7617-09F8-4CEF-AA3B-1E70C1F17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3</Pages>
  <Words>6619</Words>
  <Characters>37733</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Oxford University Physics</Company>
  <LinksUpToDate>false</LinksUpToDate>
  <CharactersWithSpaces>44264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cp:lastModifiedBy>Windows User</cp:lastModifiedBy>
  <cp:revision>120</cp:revision>
  <cp:lastPrinted>2008-05-14T19:47:00Z</cp:lastPrinted>
  <dcterms:created xsi:type="dcterms:W3CDTF">2018-12-26T16:41:00Z</dcterms:created>
  <dcterms:modified xsi:type="dcterms:W3CDTF">2019-01-23T14:49:00Z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id="HpTQ1ta1"/&gt;&lt;style id="http://www.zotero.org/styles/ieee" locale="en-US"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