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Brief per l'incontro con AIAS</w:t>
      </w:r>
    </w:p>
    <w:p>
      <w:pPr>
        <w:jc w:val="center"/>
      </w:pPr>
      <w:r>
        <w:rPr>
          <w:i/>
          <w:sz w:val="26"/>
        </w:rPr>
        <w:t>Osservatorio Infortuni: come è costruito, cosa mostriamo, dove può crescere</w:t>
      </w:r>
    </w:p>
    <w:p/>
    <w:p>
      <w:pPr>
        <w:jc w:val="center"/>
      </w:pPr>
      <w:r>
        <w:rPr>
          <w:color w:val="666666"/>
          <w:sz w:val="20"/>
        </w:rPr>
        <w:t>Documento di supporto per il resoconto del progetto</w:t>
        <w:br/>
        <w:t>Aggiornato al 15 ottobre 2026 · Ing. Damiano Salvati</w:t>
      </w:r>
    </w:p>
    <w:p>
      <w:r>
        <w:br w:type="page"/>
      </w:r>
    </w:p>
    <w:p>
      <w:pPr>
        <w:pStyle w:val="Heading1"/>
      </w:pPr>
      <w:r>
        <w:rPr>
          <w:color w:val="1F3A5F"/>
          <w:sz w:val="36"/>
        </w:rPr>
        <w:t>1. Contesto dell'incontro</w:t>
      </w:r>
    </w:p>
    <w:p>
      <w:pPr>
        <w:spacing w:after="120"/>
      </w:pPr>
      <w:r>
        <w:t>L'Osservatorio Infortuni nasce come progetto civico e professionale per rendere leggibili i dati sugli infortuni sul lavoro in Italia. La banca dati INAIL è ricchissima ma di difficile lettura: dataset enormi, codici al posto dei nomi, nessuna vista sintetica. Il progetto la valorizza con grafici e analisi che permettono una lettura facile e approfondita, sempre con fonte e data dichiarate.</w:t>
      </w:r>
    </w:p>
    <w:p>
      <w:pPr>
        <w:spacing w:after="120"/>
      </w:pPr>
      <w:r>
        <w:t>Il progetto è aperto, gratuito e indipendente. I dati sono pubblici (INAIL, INL, Eurostat, ISTAT), ogni numero pubblicato è verificato e riproducibile. L'obiettivo dell'incontro è raccontare come è fatto, mostrare cosa funziona già e capire se e come può servire i programmi AIAS/ENSHPO 2026-2030.</w:t>
      </w:r>
    </w:p>
    <w:p>
      <w:pPr>
        <w:pStyle w:val="Heading1"/>
      </w:pPr>
      <w:r>
        <w:rPr>
          <w:color w:val="1F3A5F"/>
          <w:sz w:val="36"/>
        </w:rPr>
        <w:t>2. Come è costruito il progetto</w:t>
      </w:r>
    </w:p>
    <w:p>
      <w:pPr>
        <w:spacing w:after="120"/>
      </w:pPr>
      <w:r>
        <w:t>Architettura tecnica: sito web open source (Next.js) con pipeline di dati in Python. I dati non vengono interrogati dal browser in tempo reale: il sito pubblica snapshot verificati, rigenerati con procedure ETL controllate. Un audit automatico controlla gli endpoint delle fonti ufficiali il 15 di ogni mese e segnala i cambiamenti, senza introdurre numeri senza revisione.</w:t>
      </w:r>
    </w:p>
    <w:p>
      <w:pPr>
        <w:pStyle w:val="ListBullet"/>
        <w:spacing w:after="60"/>
      </w:pPr>
      <w:r>
        <w:t>Base dati INAIL: serie storica consolidata 2021-2025, dataset semestrali regionali, tutte le 20 regioni, circa 3,05 milioni di record (rilevazione 30/04/2026).</w:t>
      </w:r>
    </w:p>
    <w:p>
      <w:pPr>
        <w:pStyle w:val="ListBullet"/>
        <w:spacing w:after="60"/>
      </w:pPr>
      <w:r>
        <w:t>Congiuntura mensile 2025-2026: API REST mensile e CSV, circa 493.000 casi nella finestra mobile.</w:t>
      </w:r>
    </w:p>
    <w:p>
      <w:pPr>
        <w:pStyle w:val="ListBullet"/>
        <w:spacing w:after="60"/>
      </w:pPr>
      <w:r>
        <w:t>Analisi Infor.MO (INAIL): archivio delle cause, con dinamiche e fattori causali aggregati, incrocio causa per settore economico.</w:t>
      </w:r>
    </w:p>
    <w:p>
      <w:pPr>
        <w:pStyle w:val="ListBullet"/>
        <w:spacing w:after="60"/>
      </w:pPr>
      <w:r>
        <w:t>Malattie professionali: denunce e decessi riconosciuti, con perimetro dichiarato nella pagina.</w:t>
      </w:r>
    </w:p>
    <w:p>
      <w:pPr>
        <w:pStyle w:val="ListBullet"/>
        <w:spacing w:after="60"/>
      </w:pPr>
      <w:r>
        <w:t>Vigilanza: rapporti annuali INL e indicatori sull'attività ispettiva.</w:t>
      </w:r>
    </w:p>
    <w:p>
      <w:pPr>
        <w:pStyle w:val="ListBullet"/>
        <w:spacing w:after="60"/>
      </w:pPr>
      <w:r>
        <w:t>Radar degli infortuni: rassegna quotidiana da fonti di cronaca, filtrata con un punteggio interno di pertinenza. Non è una statistica ufficiale, è una cronaca per non dimenticare.</w:t>
      </w:r>
    </w:p>
    <w:p>
      <w:pPr>
        <w:spacing w:after="120"/>
      </w:pPr>
      <w:r>
        <w:t>Principio guida: nessun numero senza fonte e data. Ogni pagina dichiara il proprio perimetro, la data del dato e le discontinuità note. Un aumento delle denunce può dipendere da più vigilanza, più consapevolezza o cambi normativi: i confronti usano solo misure compatibili.</w:t>
      </w:r>
    </w:p>
    <w:p>
      <w:pPr>
        <w:pStyle w:val="Heading1"/>
      </w:pPr>
      <w:r>
        <w:rPr>
          <w:color w:val="1F3A5F"/>
          <w:sz w:val="36"/>
        </w:rPr>
        <w:t>3. Cosa mostriamo oggi (numeri verificati al 15/10)</w:t>
      </w:r>
    </w:p>
    <w:p>
      <w:pPr>
        <w:pStyle w:val="Heading2"/>
      </w:pPr>
      <w:r>
        <w:rPr>
          <w:color w:val="1F3A5F"/>
          <w:sz w:val="26"/>
        </w:rPr>
        <w:t>Infortuni sul lavoro</w:t>
      </w:r>
    </w:p>
    <w:p>
      <w:pPr>
        <w:pStyle w:val="ListBullet"/>
        <w:spacing w:after="60"/>
      </w:pPr>
      <w:r>
        <w:t>3.052.546 denunce nel quinquennio 2021-2025, 20 regioni, 107 province.</w:t>
      </w:r>
    </w:p>
    <w:p>
      <w:pPr>
        <w:pStyle w:val="ListBullet"/>
        <w:spacing w:after="60"/>
      </w:pPr>
      <w:r>
        <w:t>6.429 casi mortali nel periodo (dato da rilevazione INAIL, estrazione 23/09/2026).</w:t>
      </w:r>
    </w:p>
    <w:p>
      <w:pPr>
        <w:pStyle w:val="ListBullet"/>
        <w:spacing w:after="60"/>
      </w:pPr>
      <w:r>
        <w:t>Serie storiche per tempo, luogo (regione e provincia), persona (età, genere), modalità (in occasione di lavoro e in itinere), settore (ATECO) ed esito.</w:t>
      </w:r>
    </w:p>
    <w:p>
      <w:pPr>
        <w:pStyle w:val="ListBullet"/>
        <w:spacing w:after="60"/>
      </w:pPr>
      <w:r>
        <w:t>Benchmark europeo Eurostat ESAW per contestualizzare l'Italia.</w:t>
      </w:r>
    </w:p>
    <w:p>
      <w:pPr>
        <w:pStyle w:val="Heading2"/>
      </w:pPr>
      <w:r>
        <w:rPr>
          <w:color w:val="1F3A5F"/>
          <w:sz w:val="26"/>
        </w:rPr>
        <w:t>Radar di cronaca (nuovo, sezione rinnovata a ottobre)</w:t>
      </w:r>
    </w:p>
    <w:p>
      <w:pPr>
        <w:pStyle w:val="ListBullet"/>
        <w:spacing w:after="60"/>
      </w:pPr>
      <w:r>
        <w:t>Archivio progressivo fino a 365 giorni, oggi 229 notizie raccolte e classificate.</w:t>
      </w:r>
    </w:p>
    <w:p>
      <w:pPr>
        <w:pStyle w:val="ListBullet"/>
        <w:spacing w:after="60"/>
      </w:pPr>
      <w:r>
        <w:t>Tre categorie: 141 mortali, 43 gravi, 45 analisi e approfondimenti.</w:t>
      </w:r>
    </w:p>
    <w:p>
      <w:pPr>
        <w:pStyle w:val="ListBullet"/>
        <w:spacing w:after="60"/>
      </w:pPr>
      <w:r>
        <w:t>Racconta i fatti con sintesi brevi, tutte le testate per ogni evento, ricerca per parole chiave. Niente numeri KPI in questa sezione: conta il racconto, non lo score.</w:t>
      </w:r>
    </w:p>
    <w:p>
      <w:pPr>
        <w:pStyle w:val="Heading2"/>
      </w:pPr>
      <w:r>
        <w:rPr>
          <w:color w:val="1F3A5F"/>
          <w:sz w:val="26"/>
        </w:rPr>
        <w:t>Malattie professionali (sezione aggiornata)</w:t>
      </w:r>
    </w:p>
    <w:p>
      <w:pPr>
        <w:pStyle w:val="ListBullet"/>
        <w:spacing w:after="60"/>
      </w:pPr>
      <w:r>
        <w:t>110.279 denunce nel confronto a pari periodo: primo semestre 2026 a 59.394 casi contro 50.885 nel 2025, +16,7% anno su anno.</w:t>
      </w:r>
    </w:p>
    <w:p>
      <w:pPr>
        <w:pStyle w:val="ListBullet"/>
        <w:spacing w:after="60"/>
      </w:pPr>
      <w:r>
        <w:t>4.853 decessi riconosciuti nell'intero dataset, con dettaglio per patologia.</w:t>
      </w:r>
    </w:p>
    <w:p>
      <w:pPr>
        <w:pStyle w:val="ListBullet"/>
        <w:spacing w:after="60"/>
      </w:pPr>
      <w:r>
        <w:t>Esiti 2025: 98.312 denunce, 36,6% riconosciute, 50,7% rigettate, 12,7% in istruttoria.</w:t>
      </w:r>
    </w:p>
    <w:p>
      <w:pPr>
        <w:pStyle w:val="Heading2"/>
      </w:pPr>
      <w:r>
        <w:rPr>
          <w:color w:val="1F3A5F"/>
          <w:sz w:val="26"/>
        </w:rPr>
        <w:t>Vigilanza</w:t>
      </w:r>
    </w:p>
    <w:p>
      <w:pPr>
        <w:pStyle w:val="ListBullet"/>
        <w:spacing w:after="60"/>
      </w:pPr>
      <w:r>
        <w:t>Serie storica annuale dell'attività INL (2021-2025): controlli avviati, ispezioni definite, tasso di irregolarità, patente a crediti.</w:t>
      </w:r>
    </w:p>
    <w:p>
      <w:pPr>
        <w:pStyle w:val="Heading1"/>
      </w:pPr>
      <w:r>
        <w:rPr>
          <w:color w:val="1F3A5F"/>
          <w:sz w:val="36"/>
        </w:rPr>
        <w:t>4. Il laboratorio Sicurezza Industriale (in sviluppo)</w:t>
      </w:r>
    </w:p>
    <w:p>
      <w:pPr>
        <w:spacing w:after="120"/>
      </w:pPr>
      <w:r>
        <w:t>A fianco dell'Osservatorio è in costruzione un laboratorio per i professionisti della sicurezza. L'idea: unire ai dati istituzionali gli strumenti di analisi del rischio che oggi richiedono software costosi.</w:t>
      </w:r>
    </w:p>
    <w:p>
      <w:pPr>
        <w:pStyle w:val="ListBullet"/>
        <w:spacing w:after="60"/>
      </w:pPr>
      <w:r>
        <w:t>Atlante delle banche dati di affidabilità (IOGP, HSE FRED, OREDA, CCPS, HEART e altre, 14 fonti classificate tra dati aperti, link e a pagamento).</w:t>
      </w:r>
    </w:p>
    <w:p>
      <w:pPr>
        <w:pStyle w:val="ListBullet"/>
        <w:spacing w:after="60"/>
      </w:pPr>
      <w:r>
        <w:t>Database consultabile con 25 voci di frequenze di guasto e probabilità, 6 categorie (serbatoi, tubazioni, macchine rotanti, valvole, scambiatori, fattore umano), ogni valore con fonte e anno.</w:t>
      </w:r>
    </w:p>
    <w:p>
      <w:pPr>
        <w:pStyle w:val="ListBullet"/>
        <w:spacing w:after="60"/>
      </w:pPr>
      <w:r>
        <w:t>Lavagna FTA/ETA in stile Miro: si costruiscono alberi di guasto e alberi di eventi con porte logiche, si assegnano le probabilità dal database con un click e si ottengono cut set e probabilità in tempo reale.</w:t>
      </w:r>
    </w:p>
    <w:p>
      <w:pPr>
        <w:pStyle w:val="ListBullet"/>
        <w:spacing w:after="60"/>
      </w:pPr>
      <w:r>
        <w:t>Il laboratorio è pubblicato su ambiente separato e sperimentale. Serve a dimostrare che il flusso professionista completo, dalla banca dati al calcolo, è già percorribile.</w:t>
      </w:r>
    </w:p>
    <w:p>
      <w:pPr>
        <w:pStyle w:val="Heading1"/>
      </w:pPr>
      <w:r>
        <w:rPr>
          <w:color w:val="1F3A5F"/>
          <w:sz w:val="36"/>
        </w:rPr>
        <w:t>5. Cosa possiamo offrire ad AIAS/ENSHPO</w:t>
      </w:r>
    </w:p>
    <w:p>
      <w:pPr>
        <w:spacing w:after="120"/>
      </w:pPr>
      <w:r>
        <w:t>Tre livelli di collaborazione, tutti reversibili e compatibili con l'indipendenza del progetto:</w:t>
      </w:r>
    </w:p>
    <w:p>
      <w:pPr>
        <w:pStyle w:val="ListBullet"/>
        <w:spacing w:after="60"/>
      </w:pPr>
      <w:r>
        <w:t>Dati con fonte: condividere le basi verificate dell'Osservatorio per i programmi 2026-2030, sempre con metodologia e limiti dichiarati.</w:t>
      </w:r>
    </w:p>
    <w:p>
      <w:pPr>
        <w:pStyle w:val="ListBullet"/>
        <w:spacing w:after="60"/>
      </w:pPr>
      <w:r>
        <w:t>Co-branding di report: analisi congiunte su temi del programma (salute mentale, PMI, qualifiche OSH), con il marchio dell'Osservatorio e di AIAS.</w:t>
      </w:r>
    </w:p>
    <w:p>
      <w:pPr>
        <w:pStyle w:val="ListBullet"/>
        <w:spacing w:after="60"/>
      </w:pPr>
      <w:r>
        <w:t>Advisory sul metodo: il progetto come banco di prova per come leggere i dati, costruire indicatori e comunicare i risultati senza fuorviare.</w:t>
      </w:r>
    </w:p>
    <w:p>
      <w:pPr>
        <w:spacing w:after="120"/>
      </w:pPr>
      <w:r>
        <w:t>In cambio chiediamo visibilità, eventuale patrocinio e un ruolo riconosciuto nel programma. Il progetto resta pubblico e indipendente: i dati sono di tutti, il valore sta nella catena che li rende leggibili.</w:t>
      </w:r>
    </w:p>
    <w:p>
      <w:pPr>
        <w:pStyle w:val="Heading1"/>
      </w:pPr>
      <w:r>
        <w:rPr>
          <w:color w:val="1F3A5F"/>
          <w:sz w:val="36"/>
        </w:rPr>
        <w:t>6. Domande che portiamo all'incontro</w:t>
      </w:r>
    </w:p>
    <w:p>
      <w:pPr>
        <w:spacing w:after="120"/>
      </w:pPr>
      <w:r>
        <w:t>Prima di tutto ascoltiamo: quali dati servono ai programmi 2026-2030, per cosa e per quando. Poi chiarimenti operativi:</w:t>
      </w:r>
    </w:p>
    <w:p>
      <w:pPr>
        <w:pStyle w:val="ListBullet"/>
        <w:spacing w:after="60"/>
      </w:pPr>
      <w:r>
        <w:t>Quali temi del programma 2027-2030 hanno bisogno di dati e analisi?</w:t>
      </w:r>
    </w:p>
    <w:p>
      <w:pPr>
        <w:pStyle w:val="ListBullet"/>
        <w:spacing w:after="60"/>
      </w:pPr>
      <w:r>
        <w:t>Come si inquadra una collaborazione con un progetto civico open source?</w:t>
      </w:r>
    </w:p>
    <w:p>
      <w:pPr>
        <w:pStyle w:val="ListBullet"/>
        <w:spacing w:after="60"/>
      </w:pPr>
      <w:r>
        <w:t>C'è spazio per una sperimentazione concreta entro l'assemblea di novembre o nei primi mesi del 2027?</w:t>
      </w:r>
    </w:p>
    <w:p>
      <w:pPr>
        <w:pStyle w:val="ListBullet"/>
        <w:spacing w:after="60"/>
      </w:pPr>
      <w:r>
        <w:t>Quali vincoli di immagine e di metodo per l'uso dei dati da parte dell'associazione?</w:t>
      </w:r>
    </w:p>
    <w:p>
      <w:pPr>
        <w:spacing w:after="120"/>
      </w:pPr>
      <w:r>
        <w:t>Linea in una frase: raccontiamo un'infrastruttura dati già pronta, mostriamo cosa funziona, e proponiamo una collaborazione a tre livelli che rispetta l'indipendenza del progetto e dà valore ai programmi AIAS/ENSHPO.</w:t>
      </w:r>
    </w:p>
    <w:p>
      <w:pPr>
        <w:pStyle w:val="Heading1"/>
      </w:pPr>
      <w:r>
        <w:rPr>
          <w:color w:val="1F3A5F"/>
          <w:sz w:val="36"/>
        </w:rPr>
        <w:t>7. Note operative</w:t>
      </w:r>
    </w:p>
    <w:p>
      <w:pPr>
        <w:pStyle w:val="ListBullet"/>
        <w:spacing w:after="60"/>
      </w:pPr>
      <w:r>
        <w:t>Sito pubblico: osservatorioinfortuni.it (Vercel, deploy automatico da GitHub).</w:t>
      </w:r>
    </w:p>
    <w:p>
      <w:pPr>
        <w:pStyle w:val="ListBullet"/>
        <w:spacing w:after="60"/>
      </w:pPr>
      <w:r>
        <w:t>Licenza AGPL-3.0, codice sorgente aperto su GitHub.</w:t>
      </w:r>
    </w:p>
    <w:p>
      <w:pPr>
        <w:pStyle w:val="ListBullet"/>
        <w:spacing w:after="60"/>
      </w:pPr>
      <w:r>
        <w:t>Laboratorio Sicurezza Industriale: ambiente separato, in sviluppo.</w:t>
      </w:r>
    </w:p>
    <w:p>
      <w:pPr>
        <w:pStyle w:val="ListBullet"/>
        <w:spacing w:after="60"/>
      </w:pPr>
      <w:r>
        <w:t>Regola privacy: nessun caso singolo pubblicato, solo aggregazioni.</w:t>
      </w:r>
    </w:p>
    <w:p>
      <w:pPr>
        <w:pStyle w:val="ListBullet"/>
        <w:spacing w:after="60"/>
      </w:pPr>
      <w:r>
        <w:t>Dopo l'incontro: inviare questo documento come promemoria e annotare i prossimi passi.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