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3C6E"/>
          <w:sz w:val="72"/>
        </w:rPr>
        <w:t>CADENCE</w:t>
      </w:r>
    </w:p>
    <w:p>
      <w:pPr>
        <w:jc w:val="center"/>
      </w:pPr>
      <w:r>
        <w:rPr>
          <w:color w:val="2D5A8A"/>
          <w:sz w:val="48"/>
        </w:rPr>
        <w:t>Platform Capabilities</w:t>
      </w:r>
    </w:p>
    <w:p/>
    <w:p>
      <w:pPr>
        <w:jc w:val="center"/>
      </w:pPr>
      <w:r>
        <w:rPr>
          <w:i/>
          <w:color w:val="555555"/>
          <w:sz w:val="26"/>
        </w:rPr>
        <w:t>HSEEP-Compliant Exercise Design, Conduct, and Evaluation Platform</w:t>
      </w:r>
    </w:p>
    <w:p>
      <w:r>
        <w:br w:type="page"/>
      </w:r>
    </w:p>
    <w:p>
      <w:pPr>
        <w:pStyle w:val="Heading1"/>
      </w:pPr>
      <w:r>
        <w:t>1. Executive Summary</w:t>
      </w:r>
    </w:p>
    <w:p>
      <w:r>
        <w:t>Cadence is a purpose-built web platform for the design, conduct, and evaluation of emergency management exercises in full compliance with the Homeland Security Exercise and Evaluation Program (HSEEP) 2020 doctrine. The platform provides end-to-end management of Master Scenario Events Lists (MSELs), real-time exercise conduct with dual-time tracking, structured HSEEP evaluation through Exercise Evaluation Guides (EEGs), and comprehensive after-action review support.</w:t>
      </w:r>
    </w:p>
    <w:p>
      <w:r>
        <w:t>Cadence was designed from the ground up to address the operational realities of exercise conduct: unreliable field connectivity, multi-hour sessions that cannot tolerate data loss, multi-agency participation requiring strict data isolation, and the need for real-time coordination across geographically distributed teams. The platform serves Exercise Directors, Controllers, Evaluators, Observers, Players, Simulators, Facilitators, Safety Officers, and Trusted Agents — every HSEEP-defined participant role — with role-appropriate interfaces and permissions.</w:t>
      </w:r>
    </w:p>
    <w:p>
      <w:r>
        <w:t>The platform operates as a multi-tenant, cloud-hosted SaaS application with offline-first architecture, ensuring uninterrupted exercise conduct regardless of network conditions.</w:t>
      </w:r>
    </w:p>
    <w:p>
      <w:pPr>
        <w:pStyle w:val="Heading1"/>
      </w:pPr>
      <w:r>
        <w:t>2. HSEEP Compliance</w:t>
      </w:r>
    </w:p>
    <w:p>
      <w:pPr>
        <w:pStyle w:val="Heading2"/>
      </w:pPr>
      <w:r>
        <w:t>2.1 Doctrinal Alignment</w:t>
      </w:r>
    </w:p>
    <w:p>
      <w:r>
        <w:t>Cadence implements the HSEEP 2020 exercise lifecycle with native support for all HSEEP-defined exercise types, participant roles, evaluation methodology, and documentation requirements.</w:t>
      </w:r>
    </w:p>
    <w:p>
      <w:pPr>
        <w:pStyle w:val="Heading3"/>
      </w:pPr>
      <w:r>
        <w:t>Supported Exercise Types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3C6E"/>
          </w:tcPr>
          <w:p>
            <w:pPr>
              <w:jc w:val="left"/>
            </w:pPr>
            <w:r>
              <w:rPr>
                <w:b/>
                <w:color w:val="FFFFFF"/>
                <w:sz w:val="20"/>
              </w:rPr>
              <w:t>Type</w:t>
            </w:r>
          </w:p>
        </w:tc>
        <w:tc>
          <w:tcPr>
            <w:tcW w:type="dxa" w:w="2880"/>
            <w:shd w:val="clear" w:color="auto" w:fill="1A3C6E"/>
          </w:tcPr>
          <w:p>
            <w:pPr>
              <w:jc w:val="left"/>
            </w:pPr>
            <w:r>
              <w:rPr>
                <w:b/>
                <w:color w:val="FFFFFF"/>
                <w:sz w:val="20"/>
              </w:rPr>
              <w:t>Abbreviation</w:t>
            </w:r>
          </w:p>
        </w:tc>
        <w:tc>
          <w:tcPr>
            <w:tcW w:type="dxa" w:w="2880"/>
            <w:shd w:val="clear" w:color="auto" w:fill="1A3C6E"/>
          </w:tcPr>
          <w:p>
            <w:pPr>
              <w:jc w:val="left"/>
            </w:pPr>
            <w:r>
              <w:rPr>
                <w:b/>
                <w:color w:val="FFFFFF"/>
                <w:sz w:val="20"/>
              </w:rPr>
              <w:t>Description</w:t>
            </w:r>
          </w:p>
        </w:tc>
      </w:tr>
      <w:tr>
        <w:tc>
          <w:tcPr>
            <w:tcW w:type="dxa" w:w="2880"/>
          </w:tcPr>
          <w:p>
            <w:pPr>
              <w:jc w:val="left"/>
            </w:pPr>
            <w:r>
              <w:rPr>
                <w:sz w:val="20"/>
              </w:rPr>
              <w:t>Tabletop Exercise</w:t>
            </w:r>
          </w:p>
        </w:tc>
        <w:tc>
          <w:tcPr>
            <w:tcW w:type="dxa" w:w="2880"/>
          </w:tcPr>
          <w:p>
            <w:pPr>
              <w:jc w:val="left"/>
            </w:pPr>
            <w:r>
              <w:rPr>
                <w:sz w:val="20"/>
              </w:rPr>
              <w:t>TTX</w:t>
            </w:r>
          </w:p>
        </w:tc>
        <w:tc>
          <w:tcPr>
            <w:tcW w:type="dxa" w:w="2880"/>
          </w:tcPr>
          <w:p>
            <w:pPr>
              <w:jc w:val="left"/>
            </w:pPr>
            <w:r>
              <w:rPr>
                <w:sz w:val="20"/>
              </w:rPr>
              <w:t>Discussion-based exercises with Facilitator-Paced timing mode</w:t>
            </w:r>
          </w:p>
        </w:tc>
      </w:tr>
      <w:tr>
        <w:tc>
          <w:tcPr>
            <w:tcW w:type="dxa" w:w="2880"/>
            <w:shd w:val="clear" w:color="auto" w:fill="EDF2F9"/>
          </w:tcPr>
          <w:p>
            <w:pPr>
              <w:jc w:val="left"/>
            </w:pPr>
            <w:r>
              <w:rPr>
                <w:sz w:val="20"/>
              </w:rPr>
              <w:t>Functional Exercise</w:t>
            </w:r>
          </w:p>
        </w:tc>
        <w:tc>
          <w:tcPr>
            <w:tcW w:type="dxa" w:w="2880"/>
            <w:shd w:val="clear" w:color="auto" w:fill="EDF2F9"/>
          </w:tcPr>
          <w:p>
            <w:pPr>
              <w:jc w:val="left"/>
            </w:pPr>
            <w:r>
              <w:rPr>
                <w:sz w:val="20"/>
              </w:rPr>
              <w:t>FE</w:t>
            </w:r>
          </w:p>
        </w:tc>
        <w:tc>
          <w:tcPr>
            <w:tcW w:type="dxa" w:w="2880"/>
            <w:shd w:val="clear" w:color="auto" w:fill="EDF2F9"/>
          </w:tcPr>
          <w:p>
            <w:pPr>
              <w:jc w:val="left"/>
            </w:pPr>
            <w:r>
              <w:rPr>
                <w:sz w:val="20"/>
              </w:rPr>
              <w:t>Operations-based exercises with simulated response</w:t>
            </w:r>
          </w:p>
        </w:tc>
      </w:tr>
      <w:tr>
        <w:tc>
          <w:tcPr>
            <w:tcW w:type="dxa" w:w="2880"/>
          </w:tcPr>
          <w:p>
            <w:pPr>
              <w:jc w:val="left"/>
            </w:pPr>
            <w:r>
              <w:rPr>
                <w:sz w:val="20"/>
              </w:rPr>
              <w:t>Full-Scale Exercise</w:t>
            </w:r>
          </w:p>
        </w:tc>
        <w:tc>
          <w:tcPr>
            <w:tcW w:type="dxa" w:w="2880"/>
          </w:tcPr>
          <w:p>
            <w:pPr>
              <w:jc w:val="left"/>
            </w:pPr>
            <w:r>
              <w:rPr>
                <w:sz w:val="20"/>
              </w:rPr>
              <w:t>FSE</w:t>
            </w:r>
          </w:p>
        </w:tc>
        <w:tc>
          <w:tcPr>
            <w:tcW w:type="dxa" w:w="2880"/>
          </w:tcPr>
          <w:p>
            <w:pPr>
              <w:jc w:val="left"/>
            </w:pPr>
            <w:r>
              <w:rPr>
                <w:sz w:val="20"/>
              </w:rPr>
              <w:t>Operations-based exercises deploying real resources</w:t>
            </w:r>
          </w:p>
        </w:tc>
      </w:tr>
      <w:tr>
        <w:tc>
          <w:tcPr>
            <w:tcW w:type="dxa" w:w="2880"/>
            <w:shd w:val="clear" w:color="auto" w:fill="EDF2F9"/>
          </w:tcPr>
          <w:p>
            <w:pPr>
              <w:jc w:val="left"/>
            </w:pPr>
            <w:r>
              <w:rPr>
                <w:sz w:val="20"/>
              </w:rPr>
              <w:t>Computer-Aided Exercise</w:t>
            </w:r>
          </w:p>
        </w:tc>
        <w:tc>
          <w:tcPr>
            <w:tcW w:type="dxa" w:w="2880"/>
            <w:shd w:val="clear" w:color="auto" w:fill="EDF2F9"/>
          </w:tcPr>
          <w:p>
            <w:pPr>
              <w:jc w:val="left"/>
            </w:pPr>
            <w:r>
              <w:rPr>
                <w:sz w:val="20"/>
              </w:rPr>
              <w:t>CAX</w:t>
            </w:r>
          </w:p>
        </w:tc>
        <w:tc>
          <w:tcPr>
            <w:tcW w:type="dxa" w:w="2880"/>
            <w:shd w:val="clear" w:color="auto" w:fill="EDF2F9"/>
          </w:tcPr>
          <w:p>
            <w:pPr>
              <w:jc w:val="left"/>
            </w:pPr>
            <w:r>
              <w:rPr>
                <w:sz w:val="20"/>
              </w:rPr>
              <w:t>Exercises integrated with simulation systems</w:t>
            </w:r>
          </w:p>
        </w:tc>
      </w:tr>
    </w:tbl>
    <w:p/>
    <w:p>
      <w:pPr>
        <w:pStyle w:val="Heading3"/>
      </w:pPr>
      <w:r>
        <w:t>HSEEP Participant Roles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3C6E"/>
          </w:tcPr>
          <w:p>
            <w:pPr>
              <w:jc w:val="left"/>
            </w:pPr>
            <w:r>
              <w:rPr>
                <w:b/>
                <w:color w:val="FFFFFF"/>
                <w:sz w:val="20"/>
              </w:rPr>
              <w:t>Role</w:t>
            </w:r>
          </w:p>
        </w:tc>
        <w:tc>
          <w:tcPr>
            <w:tcW w:type="dxa" w:w="4320"/>
            <w:shd w:val="clear" w:color="auto" w:fill="1A3C6E"/>
          </w:tcPr>
          <w:p>
            <w:pPr>
              <w:jc w:val="left"/>
            </w:pPr>
            <w:r>
              <w:rPr>
                <w:b/>
                <w:color w:val="FFFFFF"/>
                <w:sz w:val="20"/>
              </w:rPr>
              <w:t>Platform Capabilities</w:t>
            </w:r>
          </w:p>
        </w:tc>
      </w:tr>
      <w:tr>
        <w:tc>
          <w:tcPr>
            <w:tcW w:type="dxa" w:w="4320"/>
          </w:tcPr>
          <w:p>
            <w:pPr>
              <w:jc w:val="left"/>
            </w:pPr>
            <w:r>
              <w:rPr>
                <w:sz w:val="20"/>
              </w:rPr>
              <w:t>Exercise Director</w:t>
            </w:r>
          </w:p>
        </w:tc>
        <w:tc>
          <w:tcPr>
            <w:tcW w:type="dxa" w:w="4320"/>
          </w:tcPr>
          <w:p>
            <w:pPr>
              <w:jc w:val="left"/>
            </w:pPr>
            <w:r>
              <w:rPr>
                <w:sz w:val="20"/>
              </w:rPr>
              <w:t>Full exercise authority: configuration, activation, participant management, Go/No-Go decisions, AAR review</w:t>
            </w:r>
          </w:p>
        </w:tc>
      </w:tr>
      <w:tr>
        <w:tc>
          <w:tcPr>
            <w:tcW w:type="dxa" w:w="4320"/>
            <w:shd w:val="clear" w:color="auto" w:fill="EDF2F9"/>
          </w:tcPr>
          <w:p>
            <w:pPr>
              <w:jc w:val="left"/>
            </w:pPr>
            <w:r>
              <w:rPr>
                <w:sz w:val="20"/>
              </w:rPr>
              <w:t>Controller</w:t>
            </w:r>
          </w:p>
        </w:tc>
        <w:tc>
          <w:tcPr>
            <w:tcW w:type="dxa" w:w="4320"/>
            <w:shd w:val="clear" w:color="auto" w:fill="EDF2F9"/>
          </w:tcPr>
          <w:p>
            <w:pPr>
              <w:jc w:val="left"/>
            </w:pPr>
            <w:r>
              <w:rPr>
                <w:sz w:val="20"/>
              </w:rPr>
              <w:t>MSEL delivery, inject firing, scenario flow management, field observation capture</w:t>
            </w:r>
          </w:p>
        </w:tc>
      </w:tr>
      <w:tr>
        <w:tc>
          <w:tcPr>
            <w:tcW w:type="dxa" w:w="4320"/>
          </w:tcPr>
          <w:p>
            <w:pPr>
              <w:jc w:val="left"/>
            </w:pPr>
            <w:r>
              <w:rPr>
                <w:sz w:val="20"/>
              </w:rPr>
              <w:t>Evaluator</w:t>
            </w:r>
          </w:p>
        </w:tc>
        <w:tc>
          <w:tcPr>
            <w:tcW w:type="dxa" w:w="4320"/>
          </w:tcPr>
          <w:p>
            <w:pPr>
              <w:jc w:val="left"/>
            </w:pPr>
            <w:r>
              <w:rPr>
                <w:sz w:val="20"/>
              </w:rPr>
              <w:t>Structured EEG assessment, ad-hoc observation capture, P/S/M/U rating, objective-linked evaluation</w:t>
            </w:r>
          </w:p>
        </w:tc>
      </w:tr>
      <w:tr>
        <w:tc>
          <w:tcPr>
            <w:tcW w:type="dxa" w:w="4320"/>
            <w:shd w:val="clear" w:color="auto" w:fill="EDF2F9"/>
          </w:tcPr>
          <w:p>
            <w:pPr>
              <w:jc w:val="left"/>
            </w:pPr>
            <w:r>
              <w:rPr>
                <w:sz w:val="20"/>
              </w:rPr>
              <w:t>Observer</w:t>
            </w:r>
          </w:p>
        </w:tc>
        <w:tc>
          <w:tcPr>
            <w:tcW w:type="dxa" w:w="4320"/>
            <w:shd w:val="clear" w:color="auto" w:fill="EDF2F9"/>
          </w:tcPr>
          <w:p>
            <w:pPr>
              <w:jc w:val="left"/>
            </w:pPr>
            <w:r>
              <w:rPr>
                <w:sz w:val="20"/>
              </w:rPr>
              <w:t>Read-only exercise monitoring without interference</w:t>
            </w:r>
          </w:p>
        </w:tc>
      </w:tr>
      <w:tr>
        <w:tc>
          <w:tcPr>
            <w:tcW w:type="dxa" w:w="4320"/>
          </w:tcPr>
          <w:p>
            <w:pPr>
              <w:jc w:val="left"/>
            </w:pPr>
            <w:r>
              <w:rPr>
                <w:sz w:val="20"/>
              </w:rPr>
              <w:t>Player</w:t>
            </w:r>
          </w:p>
        </w:tc>
        <w:tc>
          <w:tcPr>
            <w:tcW w:type="dxa" w:w="4320"/>
          </w:tcPr>
          <w:p>
            <w:pPr>
              <w:jc w:val="left"/>
            </w:pPr>
            <w:r>
              <w:rPr>
                <w:sz w:val="20"/>
              </w:rPr>
              <w:t>Inject receipt and acknowledgment in virtual/hybrid exercises</w:t>
            </w:r>
          </w:p>
        </w:tc>
      </w:tr>
      <w:tr>
        <w:tc>
          <w:tcPr>
            <w:tcW w:type="dxa" w:w="4320"/>
            <w:shd w:val="clear" w:color="auto" w:fill="EDF2F9"/>
          </w:tcPr>
          <w:p>
            <w:pPr>
              <w:jc w:val="left"/>
            </w:pPr>
            <w:r>
              <w:rPr>
                <w:sz w:val="20"/>
              </w:rPr>
              <w:t>Simulator</w:t>
            </w:r>
          </w:p>
        </w:tc>
        <w:tc>
          <w:tcPr>
            <w:tcW w:type="dxa" w:w="4320"/>
            <w:shd w:val="clear" w:color="auto" w:fill="EDF2F9"/>
          </w:tcPr>
          <w:p>
            <w:pPr>
              <w:jc w:val="left"/>
            </w:pPr>
            <w:r>
              <w:rPr>
                <w:sz w:val="20"/>
              </w:rPr>
              <w:t>Simulated communications and SimCell activity management</w:t>
            </w:r>
          </w:p>
        </w:tc>
      </w:tr>
      <w:tr>
        <w:tc>
          <w:tcPr>
            <w:tcW w:type="dxa" w:w="4320"/>
          </w:tcPr>
          <w:p>
            <w:pPr>
              <w:jc w:val="left"/>
            </w:pPr>
            <w:r>
              <w:rPr>
                <w:sz w:val="20"/>
              </w:rPr>
              <w:t>Facilitator</w:t>
            </w:r>
          </w:p>
        </w:tc>
        <w:tc>
          <w:tcPr>
            <w:tcW w:type="dxa" w:w="4320"/>
          </w:tcPr>
          <w:p>
            <w:pPr>
              <w:jc w:val="left"/>
            </w:pPr>
            <w:r>
              <w:rPr>
                <w:sz w:val="20"/>
              </w:rPr>
              <w:t>Discussion flow guidance and pace control for TTX exercises</w:t>
            </w:r>
          </w:p>
        </w:tc>
      </w:tr>
      <w:tr>
        <w:tc>
          <w:tcPr>
            <w:tcW w:type="dxa" w:w="4320"/>
            <w:shd w:val="clear" w:color="auto" w:fill="EDF2F9"/>
          </w:tcPr>
          <w:p>
            <w:pPr>
              <w:jc w:val="left"/>
            </w:pPr>
            <w:r>
              <w:rPr>
                <w:sz w:val="20"/>
              </w:rPr>
              <w:t>Safety Officer</w:t>
            </w:r>
          </w:p>
        </w:tc>
        <w:tc>
          <w:tcPr>
            <w:tcW w:type="dxa" w:w="4320"/>
            <w:shd w:val="clear" w:color="auto" w:fill="EDF2F9"/>
          </w:tcPr>
          <w:p>
            <w:pPr>
              <w:jc w:val="left"/>
            </w:pPr>
            <w:r>
              <w:rPr>
                <w:sz w:val="20"/>
              </w:rPr>
              <w:t>Safety oversight with exercise pause/stop authority</w:t>
            </w:r>
          </w:p>
        </w:tc>
      </w:tr>
      <w:tr>
        <w:tc>
          <w:tcPr>
            <w:tcW w:type="dxa" w:w="4320"/>
          </w:tcPr>
          <w:p>
            <w:pPr>
              <w:jc w:val="left"/>
            </w:pPr>
            <w:r>
              <w:rPr>
                <w:sz w:val="20"/>
              </w:rPr>
              <w:t>Trusted Agent</w:t>
            </w:r>
          </w:p>
        </w:tc>
        <w:tc>
          <w:tcPr>
            <w:tcW w:type="dxa" w:w="4320"/>
          </w:tcPr>
          <w:p>
            <w:pPr>
              <w:jc w:val="left"/>
            </w:pPr>
            <w:r>
              <w:rPr>
                <w:sz w:val="20"/>
              </w:rPr>
              <w:t>Embedded subject matter expertise with observation capabilities</w:t>
            </w:r>
          </w:p>
        </w:tc>
      </w:tr>
    </w:tbl>
    <w:p/>
    <w:p>
      <w:pPr>
        <w:pStyle w:val="Heading2"/>
      </w:pPr>
      <w:r>
        <w:t>2.2 HSEEP Inject Status Workflow</w:t>
      </w:r>
    </w:p>
    <w:p>
      <w:r>
        <w:t>Cadence implements the FEMA PrepToolkit inject status workflow as its default lifecycle:</w:t>
      </w:r>
    </w:p>
    <w:p>
      <w:r>
        <w:rPr>
          <w:b/>
        </w:rPr>
        <w:t>Draft → Submitted → Approved → Synchronized → Released → Complete</w:t>
      </w:r>
    </w:p>
    <w:p>
      <w:r>
        <w:t>With parallel paths for Deferred (cancelled before delivery) and Obsolete (soft-removed but retained for audit). The platform supports a formal inject approval workflow with configurable policies at the organization, exercise, and inject levels, ensuring quality control and governance compliance before exercise conduct.</w:t>
      </w:r>
    </w:p>
    <w:p>
      <w:pPr>
        <w:pStyle w:val="Heading2"/>
      </w:pPr>
      <w:r>
        <w:t>2.3 Exercise Evaluation Guide (EEG) Implementation</w:t>
      </w:r>
    </w:p>
    <w:p>
      <w:r>
        <w:t>Cadence implements the full HSEEP evaluation chain:</w:t>
      </w:r>
    </w:p>
    <w:p>
      <w:r>
        <w:rPr>
          <w:b/>
        </w:rPr>
        <w:t>Objective → Capability → Capability Target → Critical Task → Inject → EEG Entry</w:t>
      </w:r>
    </w:p>
    <w:p>
      <w:r>
        <w:t>Exercise planners define Capability Targets with measurable performance thresholds and Critical Tasks that specify the actions required to achieve each target. MSEL injects are linked to the Critical Tasks they are designed to test. During conduct, Evaluators record structured EEG entries against specific Critical Tasks using the HSEEP P/S/M/U rating scale: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3C6E"/>
          </w:tcPr>
          <w:p>
            <w:pPr>
              <w:jc w:val="left"/>
            </w:pPr>
            <w:r>
              <w:rPr>
                <w:b/>
                <w:color w:val="FFFFFF"/>
                <w:sz w:val="20"/>
              </w:rPr>
              <w:t>Rating</w:t>
            </w:r>
          </w:p>
        </w:tc>
        <w:tc>
          <w:tcPr>
            <w:tcW w:type="dxa" w:w="4320"/>
            <w:shd w:val="clear" w:color="auto" w:fill="1A3C6E"/>
          </w:tcPr>
          <w:p>
            <w:pPr>
              <w:jc w:val="left"/>
            </w:pPr>
            <w:r>
              <w:rPr>
                <w:b/>
                <w:color w:val="FFFFFF"/>
                <w:sz w:val="20"/>
              </w:rPr>
              <w:t>Definition</w:t>
            </w:r>
          </w:p>
        </w:tc>
      </w:tr>
      <w:tr>
        <w:tc>
          <w:tcPr>
            <w:tcW w:type="dxa" w:w="4320"/>
          </w:tcPr>
          <w:p>
            <w:pPr>
              <w:jc w:val="left"/>
            </w:pPr>
            <w:r>
              <w:rPr>
                <w:sz w:val="20"/>
              </w:rPr>
              <w:t>P</w:t>
            </w:r>
          </w:p>
        </w:tc>
        <w:tc>
          <w:tcPr>
            <w:tcW w:type="dxa" w:w="4320"/>
          </w:tcPr>
          <w:p>
            <w:pPr>
              <w:jc w:val="left"/>
            </w:pPr>
            <w:r>
              <w:rPr>
                <w:sz w:val="20"/>
              </w:rPr>
              <w:t>Performed without Challenges</w:t>
            </w:r>
          </w:p>
        </w:tc>
      </w:tr>
      <w:tr>
        <w:tc>
          <w:tcPr>
            <w:tcW w:type="dxa" w:w="4320"/>
            <w:shd w:val="clear" w:color="auto" w:fill="EDF2F9"/>
          </w:tcPr>
          <w:p>
            <w:pPr>
              <w:jc w:val="left"/>
            </w:pPr>
            <w:r>
              <w:rPr>
                <w:sz w:val="20"/>
              </w:rPr>
              <w:t>S</w:t>
            </w:r>
          </w:p>
        </w:tc>
        <w:tc>
          <w:tcPr>
            <w:tcW w:type="dxa" w:w="4320"/>
            <w:shd w:val="clear" w:color="auto" w:fill="EDF2F9"/>
          </w:tcPr>
          <w:p>
            <w:pPr>
              <w:jc w:val="left"/>
            </w:pPr>
            <w:r>
              <w:rPr>
                <w:sz w:val="20"/>
              </w:rPr>
              <w:t>Performed with Some Challenges</w:t>
            </w:r>
          </w:p>
        </w:tc>
      </w:tr>
      <w:tr>
        <w:tc>
          <w:tcPr>
            <w:tcW w:type="dxa" w:w="4320"/>
          </w:tcPr>
          <w:p>
            <w:pPr>
              <w:jc w:val="left"/>
            </w:pPr>
            <w:r>
              <w:rPr>
                <w:sz w:val="20"/>
              </w:rPr>
              <w:t>M</w:t>
            </w:r>
          </w:p>
        </w:tc>
        <w:tc>
          <w:tcPr>
            <w:tcW w:type="dxa" w:w="4320"/>
          </w:tcPr>
          <w:p>
            <w:pPr>
              <w:jc w:val="left"/>
            </w:pPr>
            <w:r>
              <w:rPr>
                <w:sz w:val="20"/>
              </w:rPr>
              <w:t>Performed with Major Challenges</w:t>
            </w:r>
          </w:p>
        </w:tc>
      </w:tr>
      <w:tr>
        <w:tc>
          <w:tcPr>
            <w:tcW w:type="dxa" w:w="4320"/>
            <w:shd w:val="clear" w:color="auto" w:fill="EDF2F9"/>
          </w:tcPr>
          <w:p>
            <w:pPr>
              <w:jc w:val="left"/>
            </w:pPr>
            <w:r>
              <w:rPr>
                <w:sz w:val="20"/>
              </w:rPr>
              <w:t>U</w:t>
            </w:r>
          </w:p>
        </w:tc>
        <w:tc>
          <w:tcPr>
            <w:tcW w:type="dxa" w:w="4320"/>
            <w:shd w:val="clear" w:color="auto" w:fill="EDF2F9"/>
          </w:tcPr>
          <w:p>
            <w:pPr>
              <w:jc w:val="left"/>
            </w:pPr>
            <w:r>
              <w:rPr>
                <w:sz w:val="20"/>
              </w:rPr>
              <w:t>Unable to be Performed</w:t>
            </w:r>
          </w:p>
        </w:tc>
      </w:tr>
    </w:tbl>
    <w:p/>
    <w:p>
      <w:r>
        <w:t>An EEG Coverage Dashboard provides real-time visibility into which Critical Tasks have been evaluated, the performance distribution by Capability Target, and gaps requiring attention. All EEG data exports in AAR-ready format organized by Capability, Target, Task, and Observation.</w:t>
      </w:r>
    </w:p>
    <w:p>
      <w:pPr>
        <w:pStyle w:val="Heading2"/>
      </w:pPr>
      <w:r>
        <w:t>2.4 Cross-Domain Framework Support</w:t>
      </w:r>
    </w:p>
    <w:p>
      <w:r>
        <w:t>While HSEEP is the default framework, Cadence provides configurable status workflows and terminology to serve organizations operating under alternative frameworks: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3C6E"/>
          </w:tcPr>
          <w:p>
            <w:pPr>
              <w:jc w:val="left"/>
            </w:pPr>
            <w:r>
              <w:rPr>
                <w:b/>
                <w:color w:val="FFFFFF"/>
                <w:sz w:val="20"/>
              </w:rPr>
              <w:t>Framework</w:t>
            </w:r>
          </w:p>
        </w:tc>
        <w:tc>
          <w:tcPr>
            <w:tcW w:type="dxa" w:w="4320"/>
            <w:shd w:val="clear" w:color="auto" w:fill="1A3C6E"/>
          </w:tcPr>
          <w:p>
            <w:pPr>
              <w:jc w:val="left"/>
            </w:pPr>
            <w:r>
              <w:rPr>
                <w:b/>
                <w:color w:val="FFFFFF"/>
                <w:sz w:val="20"/>
              </w:rPr>
              <w:t>Audience</w:t>
            </w:r>
          </w:p>
        </w:tc>
      </w:tr>
      <w:tr>
        <w:tc>
          <w:tcPr>
            <w:tcW w:type="dxa" w:w="4320"/>
          </w:tcPr>
          <w:p>
            <w:pPr>
              <w:jc w:val="left"/>
            </w:pPr>
            <w:r>
              <w:rPr>
                <w:sz w:val="20"/>
              </w:rPr>
              <w:t>DoD / Joint Training System (JTS)</w:t>
            </w:r>
          </w:p>
        </w:tc>
        <w:tc>
          <w:tcPr>
            <w:tcW w:type="dxa" w:w="4320"/>
          </w:tcPr>
          <w:p>
            <w:pPr>
              <w:jc w:val="left"/>
            </w:pPr>
            <w:r>
              <w:rPr>
                <w:sz w:val="20"/>
              </w:rPr>
              <w:t>Military exercises (STARTEX/ENDEX, JMSEL)</w:t>
            </w:r>
          </w:p>
        </w:tc>
      </w:tr>
      <w:tr>
        <w:tc>
          <w:tcPr>
            <w:tcW w:type="dxa" w:w="4320"/>
            <w:shd w:val="clear" w:color="auto" w:fill="EDF2F9"/>
          </w:tcPr>
          <w:p>
            <w:pPr>
              <w:jc w:val="left"/>
            </w:pPr>
            <w:r>
              <w:rPr>
                <w:sz w:val="20"/>
              </w:rPr>
              <w:t>NATO</w:t>
            </w:r>
          </w:p>
        </w:tc>
        <w:tc>
          <w:tcPr>
            <w:tcW w:type="dxa" w:w="4320"/>
            <w:shd w:val="clear" w:color="auto" w:fill="EDF2F9"/>
          </w:tcPr>
          <w:p>
            <w:pPr>
              <w:jc w:val="left"/>
            </w:pPr>
            <w:r>
              <w:rPr>
                <w:sz w:val="20"/>
              </w:rPr>
              <w:t>Allied military coordination (EXCON/DISTAFF, LIVEX/CPX)</w:t>
            </w:r>
          </w:p>
        </w:tc>
      </w:tr>
      <w:tr>
        <w:tc>
          <w:tcPr>
            <w:tcW w:type="dxa" w:w="4320"/>
          </w:tcPr>
          <w:p>
            <w:pPr>
              <w:jc w:val="left"/>
            </w:pPr>
            <w:r>
              <w:rPr>
                <w:sz w:val="20"/>
              </w:rPr>
              <w:t>UK Cabinet Office</w:t>
            </w:r>
          </w:p>
        </w:tc>
        <w:tc>
          <w:tcPr>
            <w:tcW w:type="dxa" w:w="4320"/>
          </w:tcPr>
          <w:p>
            <w:pPr>
              <w:jc w:val="left"/>
            </w:pPr>
            <w:r>
              <w:rPr>
                <w:sz w:val="20"/>
              </w:rPr>
              <w:t>UK government (Main Events List, Cell structure)</w:t>
            </w:r>
          </w:p>
        </w:tc>
      </w:tr>
      <w:tr>
        <w:tc>
          <w:tcPr>
            <w:tcW w:type="dxa" w:w="4320"/>
            <w:shd w:val="clear" w:color="auto" w:fill="EDF2F9"/>
          </w:tcPr>
          <w:p>
            <w:pPr>
              <w:jc w:val="left"/>
            </w:pPr>
            <w:r>
              <w:rPr>
                <w:sz w:val="20"/>
              </w:rPr>
              <w:t>Australian AIIMS</w:t>
            </w:r>
          </w:p>
        </w:tc>
        <w:tc>
          <w:tcPr>
            <w:tcW w:type="dxa" w:w="4320"/>
            <w:shd w:val="clear" w:color="auto" w:fill="EDF2F9"/>
          </w:tcPr>
          <w:p>
            <w:pPr>
              <w:jc w:val="left"/>
            </w:pPr>
            <w:r>
              <w:rPr>
                <w:sz w:val="20"/>
              </w:rPr>
              <w:t>Australia/NZ emergency management</w:t>
            </w:r>
          </w:p>
        </w:tc>
      </w:tr>
      <w:tr>
        <w:tc>
          <w:tcPr>
            <w:tcW w:type="dxa" w:w="4320"/>
          </w:tcPr>
          <w:p>
            <w:pPr>
              <w:jc w:val="left"/>
            </w:pPr>
            <w:r>
              <w:rPr>
                <w:sz w:val="20"/>
              </w:rPr>
              <w:t>NIST / MITRE ATT&amp;CK</w:t>
            </w:r>
          </w:p>
        </w:tc>
        <w:tc>
          <w:tcPr>
            <w:tcW w:type="dxa" w:w="4320"/>
          </w:tcPr>
          <w:p>
            <w:pPr>
              <w:jc w:val="left"/>
            </w:pPr>
            <w:r>
              <w:rPr>
                <w:sz w:val="20"/>
              </w:rPr>
              <w:t>Cybersecurity exercises (Red/Blue/Purple teams)</w:t>
            </w:r>
          </w:p>
        </w:tc>
      </w:tr>
      <w:tr>
        <w:tc>
          <w:tcPr>
            <w:tcW w:type="dxa" w:w="4320"/>
            <w:shd w:val="clear" w:color="auto" w:fill="EDF2F9"/>
          </w:tcPr>
          <w:p>
            <w:pPr>
              <w:jc w:val="left"/>
            </w:pPr>
            <w:r>
              <w:rPr>
                <w:sz w:val="20"/>
              </w:rPr>
              <w:t>CMS / Joint Commission</w:t>
            </w:r>
          </w:p>
        </w:tc>
        <w:tc>
          <w:tcPr>
            <w:tcW w:type="dxa" w:w="4320"/>
            <w:shd w:val="clear" w:color="auto" w:fill="EDF2F9"/>
          </w:tcPr>
          <w:p>
            <w:pPr>
              <w:jc w:val="left"/>
            </w:pPr>
            <w:r>
              <w:rPr>
                <w:sz w:val="20"/>
              </w:rPr>
              <w:t>Healthcare exercises (HICS, surge levels)</w:t>
            </w:r>
          </w:p>
        </w:tc>
      </w:tr>
      <w:tr>
        <w:tc>
          <w:tcPr>
            <w:tcW w:type="dxa" w:w="4320"/>
          </w:tcPr>
          <w:p>
            <w:pPr>
              <w:jc w:val="left"/>
            </w:pPr>
            <w:r>
              <w:rPr>
                <w:sz w:val="20"/>
              </w:rPr>
              <w:t>FFIEC / FINRA</w:t>
            </w:r>
          </w:p>
        </w:tc>
        <w:tc>
          <w:tcPr>
            <w:tcW w:type="dxa" w:w="4320"/>
          </w:tcPr>
          <w:p>
            <w:pPr>
              <w:jc w:val="left"/>
            </w:pPr>
            <w:r>
              <w:rPr>
                <w:sz w:val="20"/>
              </w:rPr>
              <w:t>Financial sector exercises (RTO/RPO/MTD metrics)</w:t>
            </w:r>
          </w:p>
        </w:tc>
      </w:tr>
      <w:tr>
        <w:tc>
          <w:tcPr>
            <w:tcW w:type="dxa" w:w="4320"/>
            <w:shd w:val="clear" w:color="auto" w:fill="EDF2F9"/>
          </w:tcPr>
          <w:p>
            <w:pPr>
              <w:jc w:val="left"/>
            </w:pPr>
            <w:r>
              <w:rPr>
                <w:sz w:val="20"/>
              </w:rPr>
              <w:t>ISO 22301 / BCI</w:t>
            </w:r>
          </w:p>
        </w:tc>
        <w:tc>
          <w:tcPr>
            <w:tcW w:type="dxa" w:w="4320"/>
            <w:shd w:val="clear" w:color="auto" w:fill="EDF2F9"/>
          </w:tcPr>
          <w:p>
            <w:pPr>
              <w:jc w:val="left"/>
            </w:pPr>
            <w:r>
              <w:rPr>
                <w:sz w:val="20"/>
              </w:rPr>
              <w:t>Private sector business continuity</w:t>
            </w:r>
          </w:p>
        </w:tc>
      </w:tr>
    </w:tbl>
    <w:p/>
    <w:p>
      <w:pPr>
        <w:pStyle w:val="Heading1"/>
      </w:pPr>
      <w:r>
        <w:t>3. Exercise Design and Planning</w:t>
      </w:r>
    </w:p>
    <w:p>
      <w:pPr>
        <w:pStyle w:val="Heading2"/>
      </w:pPr>
      <w:r>
        <w:t>3.1 Exercise Lifecycle Management</w:t>
      </w:r>
    </w:p>
    <w:p>
      <w:r>
        <w:t>Cadence manages exercises through a complete HSEEP-compliant lifecycle:</w:t>
      </w:r>
    </w:p>
    <w:p>
      <w:r>
        <w:rPr>
          <w:b/>
        </w:rPr>
        <w:t>Draft → Active → Paused → Completed → Archived</w:t>
      </w:r>
    </w:p>
    <w:p>
      <w:r>
        <w:t>Each status enforces appropriate data editability, access controls, and available actions. The platform supports pause and resume capabilities for administrative holds, safety events, and multi-day exercises. Exercise status and clock state operate independently, providing flexibility for scenarios such as administrative pauses while scenario time continues, or clock pauses for discussion while the exercise remains active.</w:t>
      </w:r>
    </w:p>
    <w:p>
      <w:r>
        <w:t>Transition safeguards include validation rules (e.g., exercises cannot activate without at least one inject), confirmation dialogs for destructive transitions, and a full audit trail of who performed each transition and when.</w:t>
      </w:r>
    </w:p>
    <w:p>
      <w:pPr>
        <w:pStyle w:val="Heading2"/>
      </w:pPr>
      <w:r>
        <w:t>3.2 MSEL Authoring</w:t>
      </w:r>
    </w:p>
    <w:p>
      <w:r>
        <w:t>The Master Scenario Events List is the core artifact of exercise planning. Cadence provides:</w:t>
      </w:r>
    </w:p>
    <w:p>
      <w:r>
        <w:rPr>
          <w:b/>
        </w:rPr>
        <w:t xml:space="preserve">Inject Management: </w:t>
      </w:r>
      <w:r>
        <w:t>Full create, read, update, and delete operations for injects with support for all standard MSEL fields including inject number (auto-sequential), title, description, scheduled time, scenario time, sender, recipient, delivery method, expected player action, and controller notes.</w:t>
      </w:r>
    </w:p>
    <w:p>
      <w:r>
        <w:rPr>
          <w:b/>
        </w:rPr>
        <w:t xml:space="preserve">Dual-Time Tracking: </w:t>
      </w:r>
      <w:r>
        <w:t>Every inject supports two independent time concepts — Scheduled Time (wall clock delivery) and Scenario Time (in-story time). This enables multi-day scenarios to be compressed into shorter exercise windows.</w:t>
      </w:r>
    </w:p>
    <w:p>
      <w:r>
        <w:rPr>
          <w:b/>
        </w:rPr>
        <w:t xml:space="preserve">Phase Organization: </w:t>
      </w:r>
      <w:r>
        <w:t>Exercises can be structured into named phases representing time periods, operational stages, or scenario segments. Injects are assigned to phases and the MSEL can be grouped and collapsed by phase for large exercises.</w:t>
      </w:r>
    </w:p>
    <w:p>
      <w:r>
        <w:rPr>
          <w:b/>
        </w:rPr>
        <w:t xml:space="preserve">Objective Linkage: </w:t>
      </w:r>
      <w:r>
        <w:t>HSEEP-compliant SMART objectives are defined per exercise and linked to injects in a many-to-many relationship, enabling coverage analysis to verify all objectives are adequately exercised.</w:t>
      </w:r>
    </w:p>
    <w:p>
      <w:r>
        <w:rPr>
          <w:b/>
        </w:rPr>
        <w:t xml:space="preserve">Inject Filtering and Search: </w:t>
      </w:r>
      <w:r>
        <w:t>Multi-criteria filtering by status, phase, objective, delivery method, and controller assignment. Full-text search across inject fields for rapid location of specific content in large MSELs.</w:t>
      </w:r>
    </w:p>
    <w:p>
      <w:r>
        <w:rPr>
          <w:b/>
        </w:rPr>
        <w:t xml:space="preserve">Inject Organization: </w:t>
      </w:r>
      <w:r>
        <w:t>Configurable sorting, grouping by phase/status/objective with collapsible sections, and drag-and-drop reordering that automatically updates sequence numbers.</w:t>
      </w:r>
    </w:p>
    <w:p>
      <w:pPr>
        <w:pStyle w:val="Heading2"/>
      </w:pPr>
      <w:r>
        <w:t>3.3 Excel Import and Export</w:t>
      </w:r>
    </w:p>
    <w:p>
      <w:r>
        <w:t>Cadence preserves existing organizational workflows by providing full round-trip Excel compatibility:</w:t>
      </w:r>
    </w:p>
    <w:p>
      <w:r>
        <w:rPr>
          <w:b/>
        </w:rPr>
        <w:t xml:space="preserve">Import: </w:t>
      </w:r>
      <w:r>
        <w:t>A guided wizard supports uploading Excel (.xlsx, .xls) and CSV files, mapping spreadsheet columns to Cadence inject fields with intelligent synonym matching for delivery methods, validating data before finalization, and creating or updating injects by inject number.</w:t>
      </w:r>
    </w:p>
    <w:p>
      <w:r>
        <w:rPr>
          <w:b/>
        </w:rPr>
        <w:t xml:space="preserve">Export: </w:t>
      </w:r>
      <w:r>
        <w:t>MSEL data exports to formatted Excel workbooks with consistent column ordering that matches the import template for round-trip compatibility. Exports include optional metadata sheets with exercise information, objectives, and phases. Blank templates are available for download.</w:t>
      </w:r>
    </w:p>
    <w:p>
      <w:pPr>
        <w:pStyle w:val="Heading2"/>
      </w:pPr>
      <w:r>
        <w:t>3.4 Exercise Configuration</w:t>
      </w:r>
    </w:p>
    <w:p>
      <w:r>
        <w:t>Before an exercise begins, Cadence guides setup through a structured configuration workflow with a visual progress dashboard covering: Basic Information, Participant Assignment, Time Zone Configuration, Clock Mode Selection, Objective Definition, Phase Definition, MSEL Population, and Inject Approval. The progress dashboard displays completion status for each configuration area and prevents exercise activation until required items are complete.</w:t>
      </w:r>
    </w:p>
    <w:p>
      <w:pPr>
        <w:pStyle w:val="Heading2"/>
      </w:pPr>
      <w:r>
        <w:t>3.5 Inject Approval Workflow</w:t>
      </w:r>
    </w:p>
    <w:p>
      <w:r>
        <w:t>Organizations can require formal approval of injects before exercise conduct. The workflow is configurable at three tiers: Organization Level (Disabled, Optional, or Required), Exercise Level (Directors enable/disable per exercise), and Inject Level (status workflow enforced per setting). When enabled, injects follow a Draft → Submitted → Approved workflow with an Approval Queue view, batch approval capabilities, configurable approval permissions, self-approval policies, and a Go-Live Gate that prevents activation until all injects are approved. Every status change is recorded with full audit trail.</w:t>
      </w:r>
    </w:p>
    <w:p>
      <w:pPr>
        <w:pStyle w:val="Heading2"/>
      </w:pPr>
      <w:r>
        <w:t>3.6 MSEL Duplication and Reuse</w:t>
      </w:r>
    </w:p>
    <w:p>
      <w:r>
        <w:t>Organizations running recurring exercises can duplicate existing exercises including their complete MSEL, preserving inject content, phase structure, and objective definitions while creating a new exercise for modification.</w:t>
      </w:r>
    </w:p>
    <w:p>
      <w:pPr>
        <w:pStyle w:val="Heading1"/>
      </w:pPr>
      <w:r>
        <w:t>4. Exercise Conduct</w:t>
      </w:r>
    </w:p>
    <w:p>
      <w:pPr>
        <w:pStyle w:val="Heading2"/>
      </w:pPr>
      <w:r>
        <w:t>4.1 Real-Time Exercise Clock</w:t>
      </w:r>
    </w:p>
    <w:p>
      <w:r>
        <w:t>Cadence provides two timing modes to support different exercise types:</w:t>
      </w:r>
    </w:p>
    <w:p>
      <w:r>
        <w:rPr>
          <w:b/>
        </w:rPr>
        <w:t xml:space="preserve">Clock-Driven Mode: </w:t>
      </w:r>
      <w:r>
        <w:t>For operations-based exercises (FE, FSE), the exercise clock runs in real time. Injects automatically transition to "Ready" status when the clock reaches their scheduled delivery time. Controllers see injects organized into Now, Upcoming, and Completed sections.</w:t>
      </w:r>
    </w:p>
    <w:p>
      <w:r>
        <w:rPr>
          <w:b/>
        </w:rPr>
        <w:t xml:space="preserve">Facilitator-Paced Mode: </w:t>
      </w:r>
      <w:r>
        <w:t>For discussion-based exercises (TTX), the Facilitator manually advances through injects in sequence without time constraints, controlling the pace of discussion.</w:t>
      </w:r>
    </w:p>
    <w:p>
      <w:pPr>
        <w:pStyle w:val="Heading2"/>
      </w:pPr>
      <w:r>
        <w:t>4.2 Inject Delivery (Firing)</w:t>
      </w:r>
    </w:p>
    <w:p>
      <w:r>
        <w:t>Controllers deliver injects through the platform's firing mechanism. When a Controller fires an inject, the status transitions to Released, both wall clock and scenario time are recorded, all connected users receive real-time notification, evaluators are alerted to begin observation, and the exercise timeline updates across all clients. Fire confirmation dialogs are available for critical injects.</w:t>
      </w:r>
    </w:p>
    <w:p>
      <w:pPr>
        <w:pStyle w:val="Heading2"/>
      </w:pPr>
      <w:r>
        <w:t>4.3 Real-Time Synchronization</w:t>
      </w:r>
    </w:p>
    <w:p>
      <w:r>
        <w:t>Cadence uses Azure SignalR Service for sub-second synchronization across all connected users. Inject status changes, clock events, observations, and participant activity propagate to all clients instantly.</w:t>
      </w:r>
    </w:p>
    <w:p>
      <w:pPr>
        <w:pStyle w:val="Heading2"/>
      </w:pPr>
      <w:r>
        <w:t>4.4 Offline Capability and Field Resilience</w:t>
      </w:r>
    </w:p>
    <w:p>
      <w:r>
        <w:t>Cadence was architected from day one for environments with unreliable connectivity, directly addressing the operational reality that exercises frequently occur in Emergency Operations Centers, field locations, and disaster sites with poor network access.</w:t>
      </w:r>
    </w:p>
    <w:p>
      <w:r>
        <w:rPr>
          <w:b/>
        </w:rPr>
        <w:t xml:space="preserve">Offline Detection: </w:t>
      </w:r>
      <w:r>
        <w:t>Continuous connectivity monitoring with clear visual indicators of connection status.</w:t>
      </w:r>
    </w:p>
    <w:p>
      <w:r>
        <w:rPr>
          <w:b/>
        </w:rPr>
        <w:t xml:space="preserve">Local Data Cache: </w:t>
      </w:r>
      <w:r>
        <w:t>All active exercise data cached locally in IndexedDB for full read access regardless of connectivity.</w:t>
      </w:r>
    </w:p>
    <w:p>
      <w:r>
        <w:rPr>
          <w:b/>
        </w:rPr>
        <w:t xml:space="preserve">Offline Action Queue: </w:t>
      </w:r>
      <w:r>
        <w:t>User actions queued in a persistent FIFO queue stored in IndexedDB with optimistic UI updates.</w:t>
      </w:r>
    </w:p>
    <w:p>
      <w:r>
        <w:rPr>
          <w:b/>
        </w:rPr>
        <w:t xml:space="preserve">Sync on Reconnect: </w:t>
      </w:r>
      <w:r>
        <w:t>Queued actions processed sequentially with conflict detection. Last-write-wins for most operations; first-write-wins for inject firing.</w:t>
      </w:r>
    </w:p>
    <w:p>
      <w:r>
        <w:rPr>
          <w:b/>
        </w:rPr>
        <w:t xml:space="preserve">Zero Data Loss Guarantee: </w:t>
      </w:r>
      <w:r>
        <w:t>All queued operations survive browser crashes and are reconciled on reconnect with user notification of any conflicts.</w:t>
      </w:r>
    </w:p>
    <w:p>
      <w:pPr>
        <w:pStyle w:val="Heading2"/>
      </w:pPr>
      <w:r>
        <w:t>4.5 Notifications</w:t>
      </w:r>
    </w:p>
    <w:p>
      <w:r>
        <w:t>A real-time notification system with toast alerts for immediate events, a persistent notification bell with unread count, priority-based display, role-targeted delivery, and database-backed persistence across sessions.</w:t>
      </w:r>
    </w:p>
    <w:p>
      <w:pPr>
        <w:pStyle w:val="Heading2"/>
      </w:pPr>
      <w:r>
        <w:t>4.6 Field Operations</w:t>
      </w:r>
    </w:p>
    <w:p>
      <w:r>
        <w:t>For operations-based exercises where participants are deployed in the field, Cadence provides photo capture and attachment with client-side compression, voice-to-text observation input, opt-in GPS location tracking with Director map view and automatic geo-stamping, and safety-flagged observations with immediate Director and Safety Officer visibility.</w:t>
      </w:r>
    </w:p>
    <w:p>
      <w:pPr>
        <w:pStyle w:val="Heading1"/>
      </w:pPr>
      <w:r>
        <w:t>5. Evaluation and Observation</w:t>
      </w:r>
    </w:p>
    <w:p>
      <w:pPr>
        <w:pStyle w:val="Heading2"/>
      </w:pPr>
      <w:r>
        <w:t>5.1 Ad-Hoc Observation Capture</w:t>
      </w:r>
    </w:p>
    <w:p>
      <w:r>
        <w:t>Evaluators capture real-time observations through a quick-entry interface with type classification (Strength, Area for Improvement, Neutral), optional P/S/M/U rating, inject and objective linkage, dual timestamps, and offline support.</w:t>
      </w:r>
    </w:p>
    <w:p>
      <w:pPr>
        <w:pStyle w:val="Heading2"/>
      </w:pPr>
      <w:r>
        <w:t>5.2 Structured EEG Assessment</w:t>
      </w:r>
    </w:p>
    <w:p>
      <w:r>
        <w:t>Evaluators perform structured assessments against the Exercise Evaluation Guide by selecting a Capability Target and Critical Task, recording observation text, assigning a mandatory P/S/M/U rating, and optionally linking to the triggering inject.</w:t>
      </w:r>
    </w:p>
    <w:p>
      <w:pPr>
        <w:pStyle w:val="Heading2"/>
      </w:pPr>
      <w:r>
        <w:t>5.3 Evaluation Coverage Dashboard</w:t>
      </w:r>
    </w:p>
    <w:p>
      <w:r>
        <w:t>Real-time visibility during and after conduct showing overall Critical Task coverage, P/S/M/U rating distribution by Capability Target, and identification of unevaluated tasks for Director action.</w:t>
      </w:r>
    </w:p>
    <w:p>
      <w:pPr>
        <w:pStyle w:val="Heading1"/>
      </w:pPr>
      <w:r>
        <w:t>6. After-Action Review and Reporting</w:t>
      </w:r>
    </w:p>
    <w:p>
      <w:pPr>
        <w:pStyle w:val="Heading2"/>
      </w:pPr>
      <w:r>
        <w:t>6.1 Review Mode</w:t>
      </w:r>
    </w:p>
    <w:p>
      <w:r>
        <w:t>A dedicated post-conduct view with phase-grouped timeline, inject outcome summaries with time variance analysis, observation review panel, and exercise statistics dashboard optimized for AAR discussion.</w:t>
      </w:r>
    </w:p>
    <w:p>
      <w:pPr>
        <w:pStyle w:val="Heading2"/>
      </w:pPr>
      <w:r>
        <w:t>6.2 Metrics and Analytics</w:t>
      </w:r>
    </w:p>
    <w:p>
      <w:r>
        <w:rPr>
          <w:b/>
        </w:rPr>
        <w:t xml:space="preserve">Exercise-Level Metrics: </w:t>
      </w:r>
      <w:r>
        <w:t>Real-time inject delivery statistics, on-time delivery rate, observation counts and P/S/M/U distribution, evaluator coverage, controller activity, and timeline analysis.</w:t>
      </w:r>
    </w:p>
    <w:p>
      <w:r>
        <w:rPr>
          <w:b/>
        </w:rPr>
        <w:t xml:space="preserve">Organization-Level Metrics: </w:t>
      </w:r>
      <w:r>
        <w:t>Cross-exercise performance trends, capability tracking, comparative analysis between exercises, benchmark comparison, and custom configurable dashboards. All metrics export to PDF, Excel, and image formats.</w:t>
      </w:r>
    </w:p>
    <w:p>
      <w:pPr>
        <w:pStyle w:val="Heading2"/>
      </w:pPr>
      <w:r>
        <w:t>6.3 AAR Export</w:t>
      </w:r>
    </w:p>
    <w:p>
      <w:r>
        <w:t>EEG-based AAR export organizes findings in the HSEEP-required structure: Capability → Capability Target → Critical Task → Observations/EEG Entries. Each entry includes P/S/M/U rating, evaluator identity, timestamp, linked inject, and full observation text, directly supporting the HSEEP AAR/IP format.</w:t>
      </w:r>
    </w:p>
    <w:p>
      <w:pPr>
        <w:pStyle w:val="Heading1"/>
      </w:pPr>
      <w:r>
        <w:t>7. Multi-Tenancy and Organization Management</w:t>
      </w:r>
    </w:p>
    <w:p>
      <w:r>
        <w:t>Cadence implements a multi-tenant architecture with Organization as the primary security and data isolation boundary. All exercise data, user assignments, configurations, and audit trails are scoped to an organization. Data from one organization is never visible to another.</w:t>
      </w:r>
    </w:p>
    <w:p>
      <w:pPr>
        <w:pStyle w:val="Heading3"/>
      </w:pPr>
      <w:r>
        <w:t>Three-Tier Role Hierarchy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3C6E"/>
          </w:tcPr>
          <w:p>
            <w:pPr>
              <w:jc w:val="left"/>
            </w:pPr>
            <w:r>
              <w:rPr>
                <w:b/>
                <w:color w:val="FFFFFF"/>
                <w:sz w:val="20"/>
              </w:rPr>
              <w:t>Tier</w:t>
            </w:r>
          </w:p>
        </w:tc>
        <w:tc>
          <w:tcPr>
            <w:tcW w:type="dxa" w:w="2880"/>
            <w:shd w:val="clear" w:color="auto" w:fill="1A3C6E"/>
          </w:tcPr>
          <w:p>
            <w:pPr>
              <w:jc w:val="left"/>
            </w:pPr>
            <w:r>
              <w:rPr>
                <w:b/>
                <w:color w:val="FFFFFF"/>
                <w:sz w:val="20"/>
              </w:rPr>
              <w:t>Scope</w:t>
            </w:r>
          </w:p>
        </w:tc>
        <w:tc>
          <w:tcPr>
            <w:tcW w:type="dxa" w:w="2880"/>
            <w:shd w:val="clear" w:color="auto" w:fill="1A3C6E"/>
          </w:tcPr>
          <w:p>
            <w:pPr>
              <w:jc w:val="left"/>
            </w:pPr>
            <w:r>
              <w:rPr>
                <w:b/>
                <w:color w:val="FFFFFF"/>
                <w:sz w:val="20"/>
              </w:rPr>
              <w:t>Roles</w:t>
            </w:r>
          </w:p>
        </w:tc>
      </w:tr>
      <w:tr>
        <w:tc>
          <w:tcPr>
            <w:tcW w:type="dxa" w:w="2880"/>
          </w:tcPr>
          <w:p>
            <w:pPr>
              <w:jc w:val="left"/>
            </w:pPr>
            <w:r>
              <w:rPr>
                <w:sz w:val="20"/>
              </w:rPr>
              <w:t>System</w:t>
            </w:r>
          </w:p>
        </w:tc>
        <w:tc>
          <w:tcPr>
            <w:tcW w:type="dxa" w:w="2880"/>
          </w:tcPr>
          <w:p>
            <w:pPr>
              <w:jc w:val="left"/>
            </w:pPr>
            <w:r>
              <w:rPr>
                <w:sz w:val="20"/>
              </w:rPr>
              <w:t>Platform-wide</w:t>
            </w:r>
          </w:p>
        </w:tc>
        <w:tc>
          <w:tcPr>
            <w:tcW w:type="dxa" w:w="2880"/>
          </w:tcPr>
          <w:p>
            <w:pPr>
              <w:jc w:val="left"/>
            </w:pPr>
            <w:r>
              <w:rPr>
                <w:sz w:val="20"/>
              </w:rPr>
              <w:t>Admin, Manager, User</w:t>
            </w:r>
          </w:p>
        </w:tc>
      </w:tr>
      <w:tr>
        <w:tc>
          <w:tcPr>
            <w:tcW w:type="dxa" w:w="2880"/>
            <w:shd w:val="clear" w:color="auto" w:fill="EDF2F9"/>
          </w:tcPr>
          <w:p>
            <w:pPr>
              <w:jc w:val="left"/>
            </w:pPr>
            <w:r>
              <w:rPr>
                <w:sz w:val="20"/>
              </w:rPr>
              <w:t>Organization</w:t>
            </w:r>
          </w:p>
        </w:tc>
        <w:tc>
          <w:tcPr>
            <w:tcW w:type="dxa" w:w="2880"/>
            <w:shd w:val="clear" w:color="auto" w:fill="EDF2F9"/>
          </w:tcPr>
          <w:p>
            <w:pPr>
              <w:jc w:val="left"/>
            </w:pPr>
            <w:r>
              <w:rPr>
                <w:sz w:val="20"/>
              </w:rPr>
              <w:t>Per-organization</w:t>
            </w:r>
          </w:p>
        </w:tc>
        <w:tc>
          <w:tcPr>
            <w:tcW w:type="dxa" w:w="2880"/>
            <w:shd w:val="clear" w:color="auto" w:fill="EDF2F9"/>
          </w:tcPr>
          <w:p>
            <w:pPr>
              <w:jc w:val="left"/>
            </w:pPr>
            <w:r>
              <w:rPr>
                <w:sz w:val="20"/>
              </w:rPr>
              <w:t>OrgAdmin, OrgManager, OrgUser</w:t>
            </w:r>
          </w:p>
        </w:tc>
      </w:tr>
      <w:tr>
        <w:tc>
          <w:tcPr>
            <w:tcW w:type="dxa" w:w="2880"/>
          </w:tcPr>
          <w:p>
            <w:pPr>
              <w:jc w:val="left"/>
            </w:pPr>
            <w:r>
              <w:rPr>
                <w:sz w:val="20"/>
              </w:rPr>
              <w:t>Exercise</w:t>
            </w:r>
          </w:p>
        </w:tc>
        <w:tc>
          <w:tcPr>
            <w:tcW w:type="dxa" w:w="2880"/>
          </w:tcPr>
          <w:p>
            <w:pPr>
              <w:jc w:val="left"/>
            </w:pPr>
            <w:r>
              <w:rPr>
                <w:sz w:val="20"/>
              </w:rPr>
              <w:t>Per-exercise</w:t>
            </w:r>
          </w:p>
        </w:tc>
        <w:tc>
          <w:tcPr>
            <w:tcW w:type="dxa" w:w="2880"/>
          </w:tcPr>
          <w:p>
            <w:pPr>
              <w:jc w:val="left"/>
            </w:pPr>
            <w:r>
              <w:rPr>
                <w:sz w:val="20"/>
              </w:rPr>
              <w:t>All 9 HSEEP roles</w:t>
            </w:r>
          </w:p>
        </w:tc>
      </w:tr>
    </w:tbl>
    <w:p/>
    <w:p>
      <w:r>
        <w:t>Users can belong to multiple organizations with different roles in each, supporting consultants and contractors who work across agencies. Organization features include lifecycle management, user invitation via email or shareable codes, agency list management, capability library selection (FEMA, NATO, NIST, ISO, custom), configurable defaults, and complete audit trails.</w:t>
      </w:r>
    </w:p>
    <w:p>
      <w:pPr>
        <w:pStyle w:val="Heading1"/>
      </w:pPr>
      <w:r>
        <w:t>8. Authentication and Security</w:t>
      </w:r>
    </w:p>
    <w:p>
      <w:r>
        <w:t>Cadence implements a hybrid authentication architecture supporting local credentials and Azure Entra SSO with automatic account linking. The token strategy uses 15-minute access tokens stored in memory (preventing XSS attacks) and 4-hour refresh tokens in HttpOnly cookies. Session duration is aligned with typical exercise conduct. Authorization is enforced server-side on every request with exercise-scoped permissions and role inheritance.</w:t>
      </w:r>
    </w:p>
    <w:p>
      <w:pPr>
        <w:pStyle w:val="Heading1"/>
      </w:pPr>
      <w:r>
        <w:t>9. Platform Experience</w:t>
      </w:r>
    </w:p>
    <w:p>
      <w:r>
        <w:t>Cadence provides a role-aware, context-adaptive user interface with a personalized dashboard, context-aware navigation that transforms when entering an exercise, persistent exercise clock display, responsive design for desktop and tablet, extended session support (4+ hours), auto-save, comprehensive keyboard shortcuts, and a three-tier settings model (user, exercise, organization) with auto-save and reset-to-default at every level.</w:t>
      </w:r>
    </w:p>
    <w:p>
      <w:pPr>
        <w:pStyle w:val="Heading1"/>
      </w:pPr>
      <w:r>
        <w:t>10. Technical Architecture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3C6E"/>
          </w:tcPr>
          <w:p>
            <w:pPr>
              <w:jc w:val="left"/>
            </w:pPr>
            <w:r>
              <w:rPr>
                <w:b/>
                <w:color w:val="FFFFFF"/>
                <w:sz w:val="20"/>
              </w:rPr>
              <w:t>Layer</w:t>
            </w:r>
          </w:p>
        </w:tc>
        <w:tc>
          <w:tcPr>
            <w:tcW w:type="dxa" w:w="2880"/>
            <w:shd w:val="clear" w:color="auto" w:fill="1A3C6E"/>
          </w:tcPr>
          <w:p>
            <w:pPr>
              <w:jc w:val="left"/>
            </w:pPr>
            <w:r>
              <w:rPr>
                <w:b/>
                <w:color w:val="FFFFFF"/>
                <w:sz w:val="20"/>
              </w:rPr>
              <w:t>Technology</w:t>
            </w:r>
          </w:p>
        </w:tc>
        <w:tc>
          <w:tcPr>
            <w:tcW w:type="dxa" w:w="2880"/>
            <w:shd w:val="clear" w:color="auto" w:fill="1A3C6E"/>
          </w:tcPr>
          <w:p>
            <w:pPr>
              <w:jc w:val="left"/>
            </w:pPr>
            <w:r>
              <w:rPr>
                <w:b/>
                <w:color w:val="FFFFFF"/>
                <w:sz w:val="20"/>
              </w:rPr>
              <w:t>Purpose</w:t>
            </w:r>
          </w:p>
        </w:tc>
      </w:tr>
      <w:tr>
        <w:tc>
          <w:tcPr>
            <w:tcW w:type="dxa" w:w="2880"/>
          </w:tcPr>
          <w:p>
            <w:pPr>
              <w:jc w:val="left"/>
            </w:pPr>
            <w:r>
              <w:rPr>
                <w:sz w:val="20"/>
              </w:rPr>
              <w:t>Frontend</w:t>
            </w:r>
          </w:p>
        </w:tc>
        <w:tc>
          <w:tcPr>
            <w:tcW w:type="dxa" w:w="2880"/>
          </w:tcPr>
          <w:p>
            <w:pPr>
              <w:jc w:val="left"/>
            </w:pPr>
            <w:r>
              <w:rPr>
                <w:sz w:val="20"/>
              </w:rPr>
              <w:t>React 19, TypeScript 5, Material UI 7</w:t>
            </w:r>
          </w:p>
        </w:tc>
        <w:tc>
          <w:tcPr>
            <w:tcW w:type="dxa" w:w="2880"/>
          </w:tcPr>
          <w:p>
            <w:pPr>
              <w:jc w:val="left"/>
            </w:pPr>
            <w:r>
              <w:rPr>
                <w:sz w:val="20"/>
              </w:rPr>
              <w:t>Responsive single-page application</w:t>
            </w:r>
          </w:p>
        </w:tc>
      </w:tr>
      <w:tr>
        <w:tc>
          <w:tcPr>
            <w:tcW w:type="dxa" w:w="2880"/>
            <w:shd w:val="clear" w:color="auto" w:fill="EDF2F9"/>
          </w:tcPr>
          <w:p>
            <w:pPr>
              <w:jc w:val="left"/>
            </w:pPr>
            <w:r>
              <w:rPr>
                <w:sz w:val="20"/>
              </w:rPr>
              <w:t>Build System</w:t>
            </w:r>
          </w:p>
        </w:tc>
        <w:tc>
          <w:tcPr>
            <w:tcW w:type="dxa" w:w="2880"/>
            <w:shd w:val="clear" w:color="auto" w:fill="EDF2F9"/>
          </w:tcPr>
          <w:p>
            <w:pPr>
              <w:jc w:val="left"/>
            </w:pPr>
            <w:r>
              <w:rPr>
                <w:sz w:val="20"/>
              </w:rPr>
              <w:t>Vite 7</w:t>
            </w:r>
          </w:p>
        </w:tc>
        <w:tc>
          <w:tcPr>
            <w:tcW w:type="dxa" w:w="2880"/>
            <w:shd w:val="clear" w:color="auto" w:fill="EDF2F9"/>
          </w:tcPr>
          <w:p>
            <w:pPr>
              <w:jc w:val="left"/>
            </w:pPr>
            <w:r>
              <w:rPr>
                <w:sz w:val="20"/>
              </w:rPr>
              <w:t>Fast development and production builds</w:t>
            </w:r>
          </w:p>
        </w:tc>
      </w:tr>
      <w:tr>
        <w:tc>
          <w:tcPr>
            <w:tcW w:type="dxa" w:w="2880"/>
          </w:tcPr>
          <w:p>
            <w:pPr>
              <w:jc w:val="left"/>
            </w:pPr>
            <w:r>
              <w:rPr>
                <w:sz w:val="20"/>
              </w:rPr>
              <w:t>Backend API</w:t>
            </w:r>
          </w:p>
        </w:tc>
        <w:tc>
          <w:tcPr>
            <w:tcW w:type="dxa" w:w="2880"/>
          </w:tcPr>
          <w:p>
            <w:pPr>
              <w:jc w:val="left"/>
            </w:pPr>
            <w:r>
              <w:rPr>
                <w:sz w:val="20"/>
              </w:rPr>
              <w:t>.NET 10, ASP.NET Core</w:t>
            </w:r>
          </w:p>
        </w:tc>
        <w:tc>
          <w:tcPr>
            <w:tcW w:type="dxa" w:w="2880"/>
          </w:tcPr>
          <w:p>
            <w:pPr>
              <w:jc w:val="left"/>
            </w:pPr>
            <w:r>
              <w:rPr>
                <w:sz w:val="20"/>
              </w:rPr>
              <w:t>RESTful API (always-warm, no cold starts)</w:t>
            </w:r>
          </w:p>
        </w:tc>
      </w:tr>
      <w:tr>
        <w:tc>
          <w:tcPr>
            <w:tcW w:type="dxa" w:w="2880"/>
            <w:shd w:val="clear" w:color="auto" w:fill="EDF2F9"/>
          </w:tcPr>
          <w:p>
            <w:pPr>
              <w:jc w:val="left"/>
            </w:pPr>
            <w:r>
              <w:rPr>
                <w:sz w:val="20"/>
              </w:rPr>
              <w:t>ORM</w:t>
            </w:r>
          </w:p>
        </w:tc>
        <w:tc>
          <w:tcPr>
            <w:tcW w:type="dxa" w:w="2880"/>
            <w:shd w:val="clear" w:color="auto" w:fill="EDF2F9"/>
          </w:tcPr>
          <w:p>
            <w:pPr>
              <w:jc w:val="left"/>
            </w:pPr>
            <w:r>
              <w:rPr>
                <w:sz w:val="20"/>
              </w:rPr>
              <w:t>Entity Framework Core 10</w:t>
            </w:r>
          </w:p>
        </w:tc>
        <w:tc>
          <w:tcPr>
            <w:tcW w:type="dxa" w:w="2880"/>
            <w:shd w:val="clear" w:color="auto" w:fill="EDF2F9"/>
          </w:tcPr>
          <w:p>
            <w:pPr>
              <w:jc w:val="left"/>
            </w:pPr>
            <w:r>
              <w:rPr>
                <w:sz w:val="20"/>
              </w:rPr>
              <w:t>Database access with migrations</w:t>
            </w:r>
          </w:p>
        </w:tc>
      </w:tr>
      <w:tr>
        <w:tc>
          <w:tcPr>
            <w:tcW w:type="dxa" w:w="2880"/>
          </w:tcPr>
          <w:p>
            <w:pPr>
              <w:jc w:val="left"/>
            </w:pPr>
            <w:r>
              <w:rPr>
                <w:sz w:val="20"/>
              </w:rPr>
              <w:t>Database</w:t>
            </w:r>
          </w:p>
        </w:tc>
        <w:tc>
          <w:tcPr>
            <w:tcW w:type="dxa" w:w="2880"/>
          </w:tcPr>
          <w:p>
            <w:pPr>
              <w:jc w:val="left"/>
            </w:pPr>
            <w:r>
              <w:rPr>
                <w:sz w:val="20"/>
              </w:rPr>
              <w:t>Azure SQL</w:t>
            </w:r>
          </w:p>
        </w:tc>
        <w:tc>
          <w:tcPr>
            <w:tcW w:type="dxa" w:w="2880"/>
          </w:tcPr>
          <w:p>
            <w:pPr>
              <w:jc w:val="left"/>
            </w:pPr>
            <w:r>
              <w:rPr>
                <w:sz w:val="20"/>
              </w:rPr>
              <w:t>Relational data storage</w:t>
            </w:r>
          </w:p>
        </w:tc>
      </w:tr>
      <w:tr>
        <w:tc>
          <w:tcPr>
            <w:tcW w:type="dxa" w:w="2880"/>
            <w:shd w:val="clear" w:color="auto" w:fill="EDF2F9"/>
          </w:tcPr>
          <w:p>
            <w:pPr>
              <w:jc w:val="left"/>
            </w:pPr>
            <w:r>
              <w:rPr>
                <w:sz w:val="20"/>
              </w:rPr>
              <w:t>Real-Time</w:t>
            </w:r>
          </w:p>
        </w:tc>
        <w:tc>
          <w:tcPr>
            <w:tcW w:type="dxa" w:w="2880"/>
            <w:shd w:val="clear" w:color="auto" w:fill="EDF2F9"/>
          </w:tcPr>
          <w:p>
            <w:pPr>
              <w:jc w:val="left"/>
            </w:pPr>
            <w:r>
              <w:rPr>
                <w:sz w:val="20"/>
              </w:rPr>
              <w:t>Azure SignalR Service</w:t>
            </w:r>
          </w:p>
        </w:tc>
        <w:tc>
          <w:tcPr>
            <w:tcW w:type="dxa" w:w="2880"/>
            <w:shd w:val="clear" w:color="auto" w:fill="EDF2F9"/>
          </w:tcPr>
          <w:p>
            <w:pPr>
              <w:jc w:val="left"/>
            </w:pPr>
            <w:r>
              <w:rPr>
                <w:sz w:val="20"/>
              </w:rPr>
              <w:t>Sub-second synchronization</w:t>
            </w:r>
          </w:p>
        </w:tc>
      </w:tr>
      <w:tr>
        <w:tc>
          <w:tcPr>
            <w:tcW w:type="dxa" w:w="2880"/>
          </w:tcPr>
          <w:p>
            <w:pPr>
              <w:jc w:val="left"/>
            </w:pPr>
            <w:r>
              <w:rPr>
                <w:sz w:val="20"/>
              </w:rPr>
              <w:t>Background Jobs</w:t>
            </w:r>
          </w:p>
        </w:tc>
        <w:tc>
          <w:tcPr>
            <w:tcW w:type="dxa" w:w="2880"/>
          </w:tcPr>
          <w:p>
            <w:pPr>
              <w:jc w:val="left"/>
            </w:pPr>
            <w:r>
              <w:rPr>
                <w:sz w:val="20"/>
              </w:rPr>
              <w:t>Azure Functions</w:t>
            </w:r>
          </w:p>
        </w:tc>
        <w:tc>
          <w:tcPr>
            <w:tcW w:type="dxa" w:w="2880"/>
          </w:tcPr>
          <w:p>
            <w:pPr>
              <w:jc w:val="left"/>
            </w:pPr>
            <w:r>
              <w:rPr>
                <w:sz w:val="20"/>
              </w:rPr>
              <w:t>Timer-triggered maintenance tasks</w:t>
            </w:r>
          </w:p>
        </w:tc>
      </w:tr>
      <w:tr>
        <w:tc>
          <w:tcPr>
            <w:tcW w:type="dxa" w:w="2880"/>
            <w:shd w:val="clear" w:color="auto" w:fill="EDF2F9"/>
          </w:tcPr>
          <w:p>
            <w:pPr>
              <w:jc w:val="left"/>
            </w:pPr>
            <w:r>
              <w:rPr>
                <w:sz w:val="20"/>
              </w:rPr>
              <w:t>Offline Storage</w:t>
            </w:r>
          </w:p>
        </w:tc>
        <w:tc>
          <w:tcPr>
            <w:tcW w:type="dxa" w:w="2880"/>
            <w:shd w:val="clear" w:color="auto" w:fill="EDF2F9"/>
          </w:tcPr>
          <w:p>
            <w:pPr>
              <w:jc w:val="left"/>
            </w:pPr>
            <w:r>
              <w:rPr>
                <w:sz w:val="20"/>
              </w:rPr>
              <w:t>IndexedDB (Dexie.js)</w:t>
            </w:r>
          </w:p>
        </w:tc>
        <w:tc>
          <w:tcPr>
            <w:tcW w:type="dxa" w:w="2880"/>
            <w:shd w:val="clear" w:color="auto" w:fill="EDF2F9"/>
          </w:tcPr>
          <w:p>
            <w:pPr>
              <w:jc w:val="left"/>
            </w:pPr>
            <w:r>
              <w:rPr>
                <w:sz w:val="20"/>
              </w:rPr>
              <w:t>Client-side data cache and action queue</w:t>
            </w:r>
          </w:p>
        </w:tc>
      </w:tr>
    </w:tbl>
    <w:p/>
    <w:p>
      <w:r>
        <w:t>The REST API runs on Azure App Service (not serverless) to eliminate cold starts during exercise conduct. Azure Functions are used only for background timer tasks. The entire offline architecture was designed before the first feature was built, ensuring every capability works offline by default. Deployment uses CI/CD via GitHub Actions with infrastructure defined as Bicep templates.</w:t>
      </w:r>
    </w:p>
    <w:p>
      <w:pPr>
        <w:pStyle w:val="Heading1"/>
      </w:pPr>
      <w:r>
        <w:t>11. Differentiating Capabilities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3C6E"/>
          </w:tcPr>
          <w:p>
            <w:pPr>
              <w:jc w:val="left"/>
            </w:pPr>
            <w:r>
              <w:rPr>
                <w:b/>
                <w:color w:val="FFFFFF"/>
                <w:sz w:val="20"/>
              </w:rPr>
              <w:t>Capability</w:t>
            </w:r>
          </w:p>
        </w:tc>
        <w:tc>
          <w:tcPr>
            <w:tcW w:type="dxa" w:w="4320"/>
            <w:shd w:val="clear" w:color="auto" w:fill="1A3C6E"/>
          </w:tcPr>
          <w:p>
            <w:pPr>
              <w:jc w:val="left"/>
            </w:pPr>
            <w:r>
              <w:rPr>
                <w:b/>
                <w:color w:val="FFFFFF"/>
                <w:sz w:val="20"/>
              </w:rPr>
              <w:t>Description</w:t>
            </w:r>
          </w:p>
        </w:tc>
      </w:tr>
      <w:tr>
        <w:tc>
          <w:tcPr>
            <w:tcW w:type="dxa" w:w="4320"/>
          </w:tcPr>
          <w:p>
            <w:pPr>
              <w:jc w:val="left"/>
            </w:pPr>
            <w:r>
              <w:rPr>
                <w:sz w:val="20"/>
              </w:rPr>
              <w:t>Offline-First Architecture</w:t>
            </w:r>
          </w:p>
        </w:tc>
        <w:tc>
          <w:tcPr>
            <w:tcW w:type="dxa" w:w="4320"/>
          </w:tcPr>
          <w:p>
            <w:pPr>
              <w:jc w:val="left"/>
            </w:pPr>
            <w:r>
              <w:rPr>
                <w:sz w:val="20"/>
              </w:rPr>
              <w:t>Full functionality during connectivity loss with zero data loss guarantee and automatic sync on reconnect.</w:t>
            </w:r>
          </w:p>
        </w:tc>
      </w:tr>
      <w:tr>
        <w:tc>
          <w:tcPr>
            <w:tcW w:type="dxa" w:w="4320"/>
            <w:shd w:val="clear" w:color="auto" w:fill="EDF2F9"/>
          </w:tcPr>
          <w:p>
            <w:pPr>
              <w:jc w:val="left"/>
            </w:pPr>
            <w:r>
              <w:rPr>
                <w:sz w:val="20"/>
              </w:rPr>
              <w:t>Dual-Time Tracking</w:t>
            </w:r>
          </w:p>
        </w:tc>
        <w:tc>
          <w:tcPr>
            <w:tcW w:type="dxa" w:w="4320"/>
            <w:shd w:val="clear" w:color="auto" w:fill="EDF2F9"/>
          </w:tcPr>
          <w:p>
            <w:pPr>
              <w:jc w:val="left"/>
            </w:pPr>
            <w:r>
              <w:rPr>
                <w:sz w:val="20"/>
              </w:rPr>
              <w:t>Native support for both wall clock and scenario time on every inject, enabling multi-day scenario compression.</w:t>
            </w:r>
          </w:p>
        </w:tc>
      </w:tr>
      <w:tr>
        <w:tc>
          <w:tcPr>
            <w:tcW w:type="dxa" w:w="4320"/>
          </w:tcPr>
          <w:p>
            <w:pPr>
              <w:jc w:val="left"/>
            </w:pPr>
            <w:r>
              <w:rPr>
                <w:sz w:val="20"/>
              </w:rPr>
              <w:t>HSEEP EEG Implementation</w:t>
            </w:r>
          </w:p>
        </w:tc>
        <w:tc>
          <w:tcPr>
            <w:tcW w:type="dxa" w:w="4320"/>
          </w:tcPr>
          <w:p>
            <w:pPr>
              <w:jc w:val="left"/>
            </w:pPr>
            <w:r>
              <w:rPr>
                <w:sz w:val="20"/>
              </w:rPr>
              <w:t>Structured evaluation chain from Objectives through Capability Targets, Critical Tasks, and EEG Entries with P/S/M/U ratings.</w:t>
            </w:r>
          </w:p>
        </w:tc>
      </w:tr>
      <w:tr>
        <w:tc>
          <w:tcPr>
            <w:tcW w:type="dxa" w:w="4320"/>
            <w:shd w:val="clear" w:color="auto" w:fill="EDF2F9"/>
          </w:tcPr>
          <w:p>
            <w:pPr>
              <w:jc w:val="left"/>
            </w:pPr>
            <w:r>
              <w:rPr>
                <w:sz w:val="20"/>
              </w:rPr>
              <w:t>Cross-Domain Framework Support</w:t>
            </w:r>
          </w:p>
        </w:tc>
        <w:tc>
          <w:tcPr>
            <w:tcW w:type="dxa" w:w="4320"/>
            <w:shd w:val="clear" w:color="auto" w:fill="EDF2F9"/>
          </w:tcPr>
          <w:p>
            <w:pPr>
              <w:jc w:val="left"/>
            </w:pPr>
            <w:r>
              <w:rPr>
                <w:sz w:val="20"/>
              </w:rPr>
              <w:t>Configurable workflows for HSEEP, DoD/JTS, NATO, cybersecurity, healthcare, financial, and international frameworks.</w:t>
            </w:r>
          </w:p>
        </w:tc>
      </w:tr>
      <w:tr>
        <w:tc>
          <w:tcPr>
            <w:tcW w:type="dxa" w:w="4320"/>
          </w:tcPr>
          <w:p>
            <w:pPr>
              <w:jc w:val="left"/>
            </w:pPr>
            <w:r>
              <w:rPr>
                <w:sz w:val="20"/>
              </w:rPr>
              <w:t>Independent Clock and Status</w:t>
            </w:r>
          </w:p>
        </w:tc>
        <w:tc>
          <w:tcPr>
            <w:tcW w:type="dxa" w:w="4320"/>
          </w:tcPr>
          <w:p>
            <w:pPr>
              <w:jc w:val="left"/>
            </w:pPr>
            <w:r>
              <w:rPr>
                <w:sz w:val="20"/>
              </w:rPr>
              <w:t>Exercise status and clock state operate independently, supporting complex operational patterns.</w:t>
            </w:r>
          </w:p>
        </w:tc>
      </w:tr>
      <w:tr>
        <w:tc>
          <w:tcPr>
            <w:tcW w:type="dxa" w:w="4320"/>
            <w:shd w:val="clear" w:color="auto" w:fill="EDF2F9"/>
          </w:tcPr>
          <w:p>
            <w:pPr>
              <w:jc w:val="left"/>
            </w:pPr>
            <w:r>
              <w:rPr>
                <w:sz w:val="20"/>
              </w:rPr>
              <w:t>Nine HSEEP Roles</w:t>
            </w:r>
          </w:p>
        </w:tc>
        <w:tc>
          <w:tcPr>
            <w:tcW w:type="dxa" w:w="4320"/>
            <w:shd w:val="clear" w:color="auto" w:fill="EDF2F9"/>
          </w:tcPr>
          <w:p>
            <w:pPr>
              <w:jc w:val="left"/>
            </w:pPr>
            <w:r>
              <w:rPr>
                <w:sz w:val="20"/>
              </w:rPr>
              <w:t>Complete implementation of all HSEEP-defined participant roles with exercise-scoped permissions.</w:t>
            </w:r>
          </w:p>
        </w:tc>
      </w:tr>
      <w:tr>
        <w:tc>
          <w:tcPr>
            <w:tcW w:type="dxa" w:w="4320"/>
          </w:tcPr>
          <w:p>
            <w:pPr>
              <w:jc w:val="left"/>
            </w:pPr>
            <w:r>
              <w:rPr>
                <w:sz w:val="20"/>
              </w:rPr>
              <w:t>Three-Tier Inject Approval</w:t>
            </w:r>
          </w:p>
        </w:tc>
        <w:tc>
          <w:tcPr>
            <w:tcW w:type="dxa" w:w="4320"/>
          </w:tcPr>
          <w:p>
            <w:pPr>
              <w:jc w:val="left"/>
            </w:pPr>
            <w:r>
              <w:rPr>
                <w:sz w:val="20"/>
              </w:rPr>
              <w:t>Configurable approval workflows at organization, exercise, and inject levels with batch operations and Go-Live gate.</w:t>
            </w:r>
          </w:p>
        </w:tc>
      </w:tr>
      <w:tr>
        <w:tc>
          <w:tcPr>
            <w:tcW w:type="dxa" w:w="4320"/>
            <w:shd w:val="clear" w:color="auto" w:fill="EDF2F9"/>
          </w:tcPr>
          <w:p>
            <w:pPr>
              <w:jc w:val="left"/>
            </w:pPr>
            <w:r>
              <w:rPr>
                <w:sz w:val="20"/>
              </w:rPr>
              <w:t>Field Operations Suite</w:t>
            </w:r>
          </w:p>
        </w:tc>
        <w:tc>
          <w:tcPr>
            <w:tcW w:type="dxa" w:w="4320"/>
            <w:shd w:val="clear" w:color="auto" w:fill="EDF2F9"/>
          </w:tcPr>
          <w:p>
            <w:pPr>
              <w:jc w:val="left"/>
            </w:pPr>
            <w:r>
              <w:rPr>
                <w:sz w:val="20"/>
              </w:rPr>
              <w:t>Photo capture, voice-to-text, GPS location tracking, and real-time Director situational awareness.</w:t>
            </w:r>
          </w:p>
        </w:tc>
      </w:tr>
      <w:tr>
        <w:tc>
          <w:tcPr>
            <w:tcW w:type="dxa" w:w="4320"/>
          </w:tcPr>
          <w:p>
            <w:pPr>
              <w:jc w:val="left"/>
            </w:pPr>
            <w:r>
              <w:rPr>
                <w:sz w:val="20"/>
              </w:rPr>
              <w:t>Multi-Tenant Data Isolation</w:t>
            </w:r>
          </w:p>
        </w:tc>
        <w:tc>
          <w:tcPr>
            <w:tcW w:type="dxa" w:w="4320"/>
          </w:tcPr>
          <w:p>
            <w:pPr>
              <w:jc w:val="left"/>
            </w:pPr>
            <w:r>
              <w:rPr>
                <w:sz w:val="20"/>
              </w:rPr>
              <w:t>Organization-level security boundary with validated data isolation across tenants.</w:t>
            </w:r>
          </w:p>
        </w:tc>
      </w:tr>
      <w:tr>
        <w:tc>
          <w:tcPr>
            <w:tcW w:type="dxa" w:w="4320"/>
            <w:shd w:val="clear" w:color="auto" w:fill="EDF2F9"/>
          </w:tcPr>
          <w:p>
            <w:pPr>
              <w:jc w:val="left"/>
            </w:pPr>
            <w:r>
              <w:rPr>
                <w:sz w:val="20"/>
              </w:rPr>
              <w:t>Always-Warm API</w:t>
            </w:r>
          </w:p>
        </w:tc>
        <w:tc>
          <w:tcPr>
            <w:tcW w:type="dxa" w:w="4320"/>
            <w:shd w:val="clear" w:color="auto" w:fill="EDF2F9"/>
          </w:tcPr>
          <w:p>
            <w:pPr>
              <w:jc w:val="left"/>
            </w:pPr>
            <w:r>
              <w:rPr>
                <w:sz w:val="20"/>
              </w:rPr>
              <w:t>No cold starts during exercise conduct. The API is always responsive for time-sensitive inject delivery.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C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C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D5A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