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icon-192x192.png"/>
                    <pic:cNvPicPr/>
                  </pic:nvPicPr>
                  <pic:blipFill>
                    <a:blip r:embed="rId9"/>
                    <a:stretch>
                      <a:fillRect/>
                    </a:stretch>
                  </pic:blipFill>
                  <pic:spPr>
                    <a:xfrm>
                      <a:off x="0" y="0"/>
                      <a:ext cx="1371600" cy="1371600"/>
                    </a:xfrm>
                    <a:prstGeom prst="rect"/>
                  </pic:spPr>
                </pic:pic>
              </a:graphicData>
            </a:graphic>
          </wp:inline>
        </w:drawing>
      </w:r>
    </w:p>
    <w:p>
      <w:pPr>
        <w:jc w:val="center"/>
      </w:pPr>
      <w:r>
        <w:rPr>
          <w:rFonts w:ascii="Calibri" w:hAnsi="Calibri"/>
          <w:b/>
          <w:color w:val="1E3A5F"/>
          <w:sz w:val="64"/>
        </w:rPr>
        <w:t>Application Security</w:t>
        <w:br/>
        <w:t>Assessment Report</w:t>
      </w:r>
    </w:p>
    <w:p/>
    <w:p>
      <w:pPr>
        <w:jc w:val="center"/>
      </w:pPr>
      <w:r>
        <w:rPr>
          <w:rFonts w:ascii="Calibri" w:hAnsi="Calibri"/>
          <w:color w:val="666666"/>
          <w:sz w:val="32"/>
        </w:rPr>
        <w:t>Cadence — HSEEP MSEL Management Platform</w:t>
      </w:r>
    </w:p>
    <w:p/>
    <w:p/>
    <w:p>
      <w:pPr>
        <w:jc w:val="center"/>
      </w:pPr>
      <w:r>
        <w:rPr>
          <w:b/>
          <w:color w:val="333333"/>
          <w:sz w:val="22"/>
        </w:rPr>
        <w:t xml:space="preserve">Report Date:  </w:t>
      </w:r>
      <w:r>
        <w:rPr>
          <w:color w:val="333333"/>
          <w:sz w:val="22"/>
        </w:rPr>
        <w:t>March 09, 2026</w:t>
      </w:r>
    </w:p>
    <w:p>
      <w:pPr>
        <w:jc w:val="center"/>
      </w:pPr>
      <w:r>
        <w:rPr>
          <w:b/>
          <w:color w:val="333333"/>
          <w:sz w:val="22"/>
        </w:rPr>
        <w:t xml:space="preserve">Scan Date:  </w:t>
      </w:r>
      <w:r>
        <w:rPr>
          <w:color w:val="333333"/>
          <w:sz w:val="22"/>
        </w:rPr>
        <w:t>2026-03-06</w:t>
      </w:r>
    </w:p>
    <w:p>
      <w:pPr>
        <w:jc w:val="center"/>
      </w:pPr>
      <w:r>
        <w:rPr>
          <w:b/>
          <w:color w:val="333333"/>
          <w:sz w:val="22"/>
        </w:rPr>
        <w:t xml:space="preserve">Document Version:  </w:t>
      </w:r>
      <w:r>
        <w:rPr>
          <w:color w:val="333333"/>
          <w:sz w:val="22"/>
        </w:rPr>
        <w:t>1.3</w:t>
      </w:r>
    </w:p>
    <w:p>
      <w:pPr>
        <w:jc w:val="center"/>
      </w:pPr>
      <w:r>
        <w:rPr>
          <w:b/>
          <w:color w:val="333333"/>
          <w:sz w:val="22"/>
        </w:rPr>
        <w:t xml:space="preserve">Classification:  </w:t>
      </w:r>
      <w:r>
        <w:rPr>
          <w:color w:val="333333"/>
          <w:sz w:val="22"/>
        </w:rPr>
        <w:t>CONFIDENTIAL — For Authorized Recipients Only</w:t>
      </w:r>
    </w:p>
    <w:p>
      <w:pPr>
        <w:jc w:val="center"/>
      </w:pPr>
      <w:r>
        <w:rPr>
          <w:b/>
          <w:color w:val="333333"/>
          <w:sz w:val="22"/>
        </w:rPr>
        <w:t xml:space="preserve">Assessment Type:  </w:t>
      </w:r>
      <w:r>
        <w:rPr>
          <w:color w:val="333333"/>
          <w:sz w:val="22"/>
        </w:rPr>
        <w:t>Internal Automated Security Assessment</w:t>
      </w:r>
    </w:p>
    <w:p>
      <w:pPr>
        <w:jc w:val="center"/>
      </w:pPr>
      <w:r>
        <w:rPr>
          <w:b/>
          <w:color w:val="333333"/>
          <w:sz w:val="22"/>
        </w:rPr>
        <w:t xml:space="preserve">Prepared By:  </w:t>
      </w:r>
      <w:r>
        <w:rPr>
          <w:color w:val="333333"/>
          <w:sz w:val="22"/>
        </w:rPr>
        <w:t>Dynamis Inc. — Security Engineering</w:t>
      </w:r>
    </w:p>
    <w:p>
      <w:r>
        <w:br w:type="page"/>
      </w:r>
    </w:p>
    <w:p>
      <w:pPr>
        <w:pStyle w:val="Heading1"/>
      </w:pPr>
      <w:r>
        <w:t>Table of Contents</w:t>
      </w:r>
    </w:p>
    <w:p>
      <w:r>
        <w:rPr>
          <w:color w:val="666666"/>
          <w:sz w:val="18"/>
        </w:rPr>
        <w:t>Update this field in Word: right-click → Update Field, or press Ctrl+A then F9</w:t>
      </w:r>
    </w:p>
    <w:p>
      <w:r>
        <w:fldChar w:fldCharType="begin"/>
        <w:instrText xml:space="preserve"> TOC \o "1-3" \h \z \u </w:instrText>
        <w:fldChar w:fldCharType="separate"/>
        <w:fldChar w:fldCharType="end"/>
      </w:r>
    </w:p>
    <w:p>
      <w:r>
        <w:br w:type="page"/>
      </w:r>
    </w:p>
    <w:p>
      <w:pPr>
        <w:pStyle w:val="Heading1"/>
      </w:pPr>
      <w:r>
        <w:t>1. Executive Summary</w:t>
      </w:r>
    </w:p>
    <w:p>
      <w:r>
        <w:rPr>
          <w:b/>
          <w:color w:val="F57C00"/>
          <w:sz w:val="22"/>
        </w:rPr>
        <w:t xml:space="preserve">Note: </w:t>
      </w:r>
      <w:r>
        <w:rPr>
          <w:color w:val="333333"/>
          <w:sz w:val="22"/>
        </w:rPr>
        <w:t>This report is an internal automated security assessment conducted by the vendor (Dynamis Inc.), not an independent third-party audit. While the automated tooling provides objective, reproducible results, the risk analysis and contextual interpretation are performed by the development team. Organizations with stringent compliance requirements should consider supplementing this assessment with an independent penetration test or third-party security audit.</w:t>
      </w:r>
    </w:p>
    <w:p/>
    <w:p>
      <w:r>
        <w:rPr>
          <w:rFonts w:ascii="Calibri" w:hAnsi="Calibri"/>
          <w:color w:val="333333"/>
          <w:sz w:val="22"/>
        </w:rPr>
        <w:t>Dynamis Inc. maintains a continuous automated security assessment program for the Cadence platform. This report provides a transparent view into the current security posture of the application, infrastructure, and live deployment environment. It is produced as part of an ongoing commitment to proactive vulnerability identification and remediation—not as a one-time audit, but as evidence of continuous security vigilance.</w:t>
      </w:r>
    </w:p>
    <w:p>
      <w:r>
        <w:rPr>
          <w:rFonts w:ascii="Calibri" w:hAnsi="Calibri"/>
          <w:color w:val="333333"/>
          <w:sz w:val="22"/>
        </w:rPr>
        <w:t>The assessment employs a defense-in-depth strategy using three independent and complementary security tools, each targeting a different layer of the application stack. Static Application Security Testing (SAST) examines the source code for vulnerabilities at the code level. Infrastructure as Code (IaC) scanning validates Azure resource configurations against industry benchmarks before deployment. Dynamic Application Security Testing (DAST) probes the live UAT environment to identify runtime vulnerabilities that static analysis cannot detect.</w:t>
      </w:r>
    </w:p>
    <w:p>
      <w:r>
        <w:rPr>
          <w:rFonts w:ascii="Calibri" w:hAnsi="Calibri"/>
          <w:color w:val="333333"/>
          <w:sz w:val="22"/>
        </w:rPr>
        <w:t>These automated scans run on a defined schedule integrated into the CI/CD pipeline. Every code change to the main branch triggers SAST analysis. Infrastructure templates are scanned on each relevant commit. DAST baseline scans execute weekly, with comprehensive API-level scans running monthly. Results are consolidated into a unified SARIF report weekly and monthly, with findings automatically tracked via GitHub Issues.</w:t>
      </w:r>
    </w:p>
    <w:p>
      <w:pPr>
        <w:pStyle w:val="Heading3"/>
      </w:pPr>
      <w:r>
        <w:t>Key Results</w:t>
      </w:r>
    </w:p>
    <w:p>
      <w:r>
        <w:rPr>
          <w:b/>
          <w:color w:val="333333"/>
        </w:rPr>
        <w:t xml:space="preserve">Static Application Security Testing (SAST): </w:t>
      </w:r>
      <w:r>
        <w:rPr>
          <w:b/>
          <w:color w:val="2E7D32"/>
        </w:rPr>
        <w:t xml:space="preserve">No findings detected within configured rule packs. </w:t>
      </w:r>
      <w:r>
        <w:rPr>
          <w:color w:val="333333"/>
        </w:rPr>
        <w:t>Semgrep OSS analyzed the C# and TypeScript codebase against the OWASP Top 10 2025, CWE rules, and secret detection rule packs at ERROR and WARNING severity thresholds. Note: Semgrep OSS has limited depth for C# compared to commercial SAST tools. The TypeScript/React rule coverage is more comprehensive. These results should be interpreted as evidence that no issues were detected within the scope of the configured rules, not as a guarantee that zero vulnerabilities exist in the codebase.</w:t>
      </w:r>
    </w:p>
    <w:p>
      <w:r>
        <w:rPr>
          <w:b/>
        </w:rPr>
        <w:t xml:space="preserve">Dynamic Application Security Testing (DAST): </w:t>
      </w:r>
      <w:r>
        <w:t>40 instances across 3 unique rules. Findings relate to HTTP header configuration recommendations (HSTS, caching directives). No injection vulnerabilities, cross-site scripting, or authentication bypasses were detected during the unauthenticated baseline scan or the authenticated OpenAPI-driven API scan. Note: DAST coverage is limited to HTTP REST endpoints. SignalR WebSocket connections, file upload handlers, and complex multi-step workflows are not covered by the current automated DAST configuration and would require manual testing or specialized tooling.</w:t>
      </w:r>
    </w:p>
    <w:p>
      <w:r>
        <w:rPr>
          <w:b/>
        </w:rPr>
        <w:t xml:space="preserve">Infrastructure as Code (IaC): </w:t>
      </w:r>
      <w:r>
        <w:t>35 instances across 26 unique rules. Checkov identified configuration hardening opportunities in the Azure Bicep templates. These findings represent best-practice recommendations from CIS benchmarks—the majority relate to enabling additional Azure security features (Defender, auditing, zone redundancy) and network isolation settings appropriate for enterprise-grade deployments. Many are cost-tier dependent and are evaluated against the platform's current deployment model.</w:t>
      </w:r>
    </w:p>
    <w:p>
      <w:pPr>
        <w:pStyle w:val="Heading3"/>
      </w:pPr>
      <w:r>
        <w:t>Summary</w:t>
      </w:r>
    </w:p>
    <w:tbl>
      <w:tblPr>
        <w:tblStyle w:val="TableGrid"/>
        <w:tblW w:type="auto" w:w="0"/>
        <w:jc w:val="center"/>
        <w:tblLook w:firstColumn="1" w:firstRow="1" w:lastColumn="0" w:lastRow="0" w:noHBand="0" w:noVBand="1" w:val="04A0"/>
      </w:tblPr>
      <w:tblGrid>
        <w:gridCol w:w="4680"/>
        <w:gridCol w:w="4680"/>
      </w:tblGrid>
      <w:tr>
        <w:tc>
          <w:tcPr>
            <w:tcW w:type="dxa" w:w="5040"/>
            <w:shd w:fill="1E3A5F"/>
          </w:tcPr>
          <w:p>
            <w:pPr>
              <w:jc w:val="left"/>
            </w:pPr>
            <w:r/>
            <w:r>
              <w:rPr>
                <w:rFonts w:ascii="Calibri" w:hAnsi="Calibri"/>
                <w:b/>
                <w:color w:val="FFFFFF"/>
                <w:sz w:val="20"/>
              </w:rPr>
              <w:t>Metric</w:t>
            </w:r>
          </w:p>
        </w:tc>
        <w:tc>
          <w:tcPr>
            <w:tcW w:type="dxa" w:w="4320"/>
            <w:shd w:fill="1E3A5F"/>
          </w:tcPr>
          <w:p>
            <w:pPr>
              <w:jc w:val="left"/>
            </w:pPr>
            <w:r/>
            <w:r>
              <w:rPr>
                <w:rFonts w:ascii="Calibri" w:hAnsi="Calibri"/>
                <w:b/>
                <w:color w:val="FFFFFF"/>
                <w:sz w:val="20"/>
              </w:rPr>
              <w:t>Value</w:t>
            </w:r>
          </w:p>
        </w:tc>
      </w:tr>
      <w:tr>
        <w:tc>
          <w:tcPr>
            <w:tcW w:type="dxa" w:w="5040"/>
          </w:tcPr>
          <w:p>
            <w:r/>
            <w:r>
              <w:rPr>
                <w:rFonts w:ascii="Calibri" w:hAnsi="Calibri"/>
                <w:color w:val="333333"/>
                <w:sz w:val="20"/>
              </w:rPr>
              <w:t>Total Scan Instances</w:t>
            </w:r>
          </w:p>
        </w:tc>
        <w:tc>
          <w:tcPr>
            <w:tcW w:type="dxa" w:w="4320"/>
          </w:tcPr>
          <w:p>
            <w:r/>
            <w:r>
              <w:rPr>
                <w:rFonts w:ascii="Calibri" w:hAnsi="Calibri"/>
                <w:color w:val="333333"/>
                <w:sz w:val="20"/>
              </w:rPr>
              <w:t>75</w:t>
            </w:r>
          </w:p>
        </w:tc>
      </w:tr>
      <w:tr>
        <w:tc>
          <w:tcPr>
            <w:tcW w:type="dxa" w:w="5040"/>
            <w:shd w:fill="F5F5F5"/>
          </w:tcPr>
          <w:p>
            <w:r/>
            <w:r>
              <w:rPr>
                <w:rFonts w:ascii="Calibri" w:hAnsi="Calibri"/>
                <w:color w:val="333333"/>
                <w:sz w:val="20"/>
              </w:rPr>
              <w:t>Unique Findings (Deduplicated)</w:t>
            </w:r>
          </w:p>
        </w:tc>
        <w:tc>
          <w:tcPr>
            <w:tcW w:type="dxa" w:w="4320"/>
            <w:shd w:fill="F5F5F5"/>
          </w:tcPr>
          <w:p>
            <w:r/>
            <w:r>
              <w:rPr>
                <w:rFonts w:ascii="Calibri" w:hAnsi="Calibri"/>
                <w:color w:val="333333"/>
                <w:sz w:val="20"/>
              </w:rPr>
              <w:t>29</w:t>
            </w:r>
          </w:p>
        </w:tc>
      </w:tr>
      <w:tr>
        <w:tc>
          <w:tcPr>
            <w:tcW w:type="dxa" w:w="5040"/>
          </w:tcPr>
          <w:p>
            <w:r/>
            <w:r>
              <w:rPr>
                <w:rFonts w:ascii="Calibri" w:hAnsi="Calibri"/>
                <w:color w:val="333333"/>
                <w:sz w:val="20"/>
              </w:rPr>
              <w:t>SAST Findings (Source Code)</w:t>
            </w:r>
          </w:p>
        </w:tc>
        <w:tc>
          <w:tcPr>
            <w:tcW w:type="dxa" w:w="4320"/>
          </w:tcPr>
          <w:p>
            <w:r/>
            <w:r>
              <w:rPr>
                <w:rFonts w:ascii="Calibri" w:hAnsi="Calibri"/>
                <w:color w:val="333333"/>
                <w:sz w:val="20"/>
              </w:rPr>
              <w:t>0 (within configured rule packs)</w:t>
            </w:r>
          </w:p>
        </w:tc>
      </w:tr>
      <w:tr>
        <w:tc>
          <w:tcPr>
            <w:tcW w:type="dxa" w:w="5040"/>
            <w:shd w:fill="F5F5F5"/>
          </w:tcPr>
          <w:p>
            <w:r/>
            <w:r>
              <w:rPr>
                <w:rFonts w:ascii="Calibri" w:hAnsi="Calibri"/>
                <w:color w:val="333333"/>
                <w:sz w:val="20"/>
              </w:rPr>
              <w:t>DAST Findings (Runtime)</w:t>
            </w:r>
          </w:p>
        </w:tc>
        <w:tc>
          <w:tcPr>
            <w:tcW w:type="dxa" w:w="4320"/>
            <w:shd w:fill="F5F5F5"/>
          </w:tcPr>
          <w:p>
            <w:r/>
            <w:r>
              <w:rPr>
                <w:rFonts w:ascii="Calibri" w:hAnsi="Calibri"/>
                <w:color w:val="333333"/>
                <w:sz w:val="20"/>
              </w:rPr>
              <w:t>3 header recommendations</w:t>
            </w:r>
          </w:p>
        </w:tc>
      </w:tr>
      <w:tr>
        <w:tc>
          <w:tcPr>
            <w:tcW w:type="dxa" w:w="5040"/>
          </w:tcPr>
          <w:p>
            <w:r/>
            <w:r>
              <w:rPr>
                <w:rFonts w:ascii="Calibri" w:hAnsi="Calibri"/>
                <w:color w:val="333333"/>
                <w:sz w:val="20"/>
              </w:rPr>
              <w:t>IaC Findings (Infrastructure)</w:t>
            </w:r>
          </w:p>
        </w:tc>
        <w:tc>
          <w:tcPr>
            <w:tcW w:type="dxa" w:w="4320"/>
          </w:tcPr>
          <w:p>
            <w:r/>
            <w:r>
              <w:rPr>
                <w:rFonts w:ascii="Calibri" w:hAnsi="Calibri"/>
                <w:color w:val="333333"/>
                <w:sz w:val="20"/>
              </w:rPr>
              <w:t>26 configuration recommendations</w:t>
            </w:r>
          </w:p>
        </w:tc>
      </w:tr>
      <w:tr>
        <w:tc>
          <w:tcPr>
            <w:tcW w:type="dxa" w:w="5040"/>
            <w:shd w:fill="F5F5F5"/>
          </w:tcPr>
          <w:p>
            <w:r/>
            <w:r>
              <w:rPr>
                <w:rFonts w:ascii="Calibri" w:hAnsi="Calibri"/>
                <w:color w:val="333333"/>
                <w:sz w:val="20"/>
              </w:rPr>
              <w:t>Assessed Risk: Medium</w:t>
            </w:r>
          </w:p>
        </w:tc>
        <w:tc>
          <w:tcPr>
            <w:tcW w:type="dxa" w:w="4320"/>
            <w:shd w:fill="F5F5F5"/>
          </w:tcPr>
          <w:p>
            <w:r/>
            <w:r>
              <w:rPr>
                <w:rFonts w:ascii="Calibri" w:hAnsi="Calibri"/>
                <w:color w:val="333333"/>
                <w:sz w:val="20"/>
              </w:rPr>
              <w:t>3</w:t>
            </w:r>
          </w:p>
        </w:tc>
      </w:tr>
      <w:tr>
        <w:tc>
          <w:tcPr>
            <w:tcW w:type="dxa" w:w="5040"/>
          </w:tcPr>
          <w:p>
            <w:r/>
            <w:r>
              <w:rPr>
                <w:rFonts w:ascii="Calibri" w:hAnsi="Calibri"/>
                <w:color w:val="333333"/>
                <w:sz w:val="20"/>
              </w:rPr>
              <w:t>Assessed Risk: Low</w:t>
            </w:r>
          </w:p>
        </w:tc>
        <w:tc>
          <w:tcPr>
            <w:tcW w:type="dxa" w:w="4320"/>
          </w:tcPr>
          <w:p>
            <w:r/>
            <w:r>
              <w:rPr>
                <w:rFonts w:ascii="Calibri" w:hAnsi="Calibri"/>
                <w:color w:val="333333"/>
                <w:sz w:val="20"/>
              </w:rPr>
              <w:t>10</w:t>
            </w:r>
          </w:p>
        </w:tc>
      </w:tr>
      <w:tr>
        <w:tc>
          <w:tcPr>
            <w:tcW w:type="dxa" w:w="5040"/>
            <w:shd w:fill="F5F5F5"/>
          </w:tcPr>
          <w:p>
            <w:r/>
            <w:r>
              <w:rPr>
                <w:rFonts w:ascii="Calibri" w:hAnsi="Calibri"/>
                <w:color w:val="333333"/>
                <w:sz w:val="20"/>
              </w:rPr>
              <w:t>Assessed Risk: Informational</w:t>
            </w:r>
          </w:p>
        </w:tc>
        <w:tc>
          <w:tcPr>
            <w:tcW w:type="dxa" w:w="4320"/>
            <w:shd w:fill="F5F5F5"/>
          </w:tcPr>
          <w:p>
            <w:r/>
            <w:r>
              <w:rPr>
                <w:rFonts w:ascii="Calibri" w:hAnsi="Calibri"/>
                <w:color w:val="333333"/>
                <w:sz w:val="20"/>
              </w:rPr>
              <w:t>7</w:t>
            </w:r>
          </w:p>
        </w:tc>
      </w:tr>
      <w:tr>
        <w:tc>
          <w:tcPr>
            <w:tcW w:type="dxa" w:w="5040"/>
          </w:tcPr>
          <w:p>
            <w:r/>
            <w:r>
              <w:rPr>
                <w:rFonts w:ascii="Calibri" w:hAnsi="Calibri"/>
                <w:color w:val="333333"/>
                <w:sz w:val="20"/>
              </w:rPr>
              <w:t>Scan Tools</w:t>
            </w:r>
          </w:p>
        </w:tc>
        <w:tc>
          <w:tcPr>
            <w:tcW w:type="dxa" w:w="4320"/>
          </w:tcPr>
          <w:p>
            <w:r/>
            <w:r>
              <w:rPr>
                <w:rFonts w:ascii="Calibri" w:hAnsi="Calibri"/>
                <w:color w:val="333333"/>
                <w:sz w:val="20"/>
              </w:rPr>
              <w:t>3 (Semgrep OSS, OWASP ZAP, Checkov)</w:t>
            </w:r>
          </w:p>
        </w:tc>
      </w:tr>
      <w:tr>
        <w:tc>
          <w:tcPr>
            <w:tcW w:type="dxa" w:w="5040"/>
            <w:shd w:fill="F5F5F5"/>
          </w:tcPr>
          <w:p>
            <w:r/>
            <w:r>
              <w:rPr>
                <w:rFonts w:ascii="Calibri" w:hAnsi="Calibri"/>
                <w:color w:val="333333"/>
                <w:sz w:val="20"/>
              </w:rPr>
              <w:t>Scan Pipeline</w:t>
            </w:r>
          </w:p>
        </w:tc>
        <w:tc>
          <w:tcPr>
            <w:tcW w:type="dxa" w:w="4320"/>
            <w:shd w:fill="F5F5F5"/>
          </w:tcPr>
          <w:p>
            <w:r/>
            <w:r>
              <w:rPr>
                <w:rFonts w:ascii="Calibri" w:hAnsi="Calibri"/>
                <w:color w:val="333333"/>
                <w:sz w:val="20"/>
              </w:rPr>
              <w:t>Automated CI/CD (continuous)</w:t>
            </w:r>
          </w:p>
        </w:tc>
      </w:tr>
    </w:tbl>
    <w:p/>
    <w:p>
      <w:r>
        <w:rPr>
          <w:rFonts w:ascii="Calibri" w:hAnsi="Calibri"/>
          <w:color w:val="333333"/>
          <w:sz w:val="22"/>
        </w:rPr>
        <w:t>The assessment indicates an actively maintained security posture with a continuous automated scanning pipeline. No exploitable source code or runtime vulnerabilities were detected within the scope of the configured tools. 3 findings are classified as Medium risk, relating primarily to infrastructure hardening opportunities (network isolation, audit logging, managed identity). These have specific remediation plans documented in Section 7. Risk ratings are calibrated against the threat model in Section 2.6, which considers adversary profiles relevant to a multi-tenant emergency management platform handling sensitive HSEEP exercise data. The absence of Critical or High risk findings is encouraging, though this assessment should be supplemented with manual penetration testing to validate coverage beyond automated tooling.</w:t>
      </w:r>
    </w:p>
    <w:p>
      <w:r>
        <w:br w:type="page"/>
      </w:r>
    </w:p>
    <w:p>
      <w:pPr>
        <w:pStyle w:val="Heading1"/>
      </w:pPr>
      <w:r>
        <w:t>2. Scope &amp; Methodology</w:t>
      </w:r>
    </w:p>
    <w:p>
      <w:pPr>
        <w:pStyle w:val="Heading2"/>
      </w:pPr>
      <w:r>
        <w:t>2.1 Assessment Scope</w:t>
      </w:r>
    </w:p>
    <w:p>
      <w:r>
        <w:rPr>
          <w:rFonts w:ascii="Calibri" w:hAnsi="Calibri"/>
          <w:color w:val="333333"/>
          <w:sz w:val="22"/>
        </w:rPr>
        <w:t>The following table defines the components and layers included in this security assessment.</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E3A5F"/>
          </w:tcPr>
          <w:p>
            <w:pPr>
              <w:jc w:val="left"/>
            </w:pPr>
            <w:r/>
            <w:r>
              <w:rPr>
                <w:rFonts w:ascii="Calibri" w:hAnsi="Calibri"/>
                <w:b/>
                <w:color w:val="FFFFFF"/>
                <w:sz w:val="20"/>
              </w:rPr>
              <w:t>Component</w:t>
            </w:r>
          </w:p>
        </w:tc>
        <w:tc>
          <w:tcPr>
            <w:tcW w:type="dxa" w:w="2880"/>
            <w:shd w:fill="1E3A5F"/>
          </w:tcPr>
          <w:p>
            <w:pPr>
              <w:jc w:val="left"/>
            </w:pPr>
            <w:r/>
            <w:r>
              <w:rPr>
                <w:rFonts w:ascii="Calibri" w:hAnsi="Calibri"/>
                <w:b/>
                <w:color w:val="FFFFFF"/>
                <w:sz w:val="20"/>
              </w:rPr>
              <w:t>Technology</w:t>
            </w:r>
          </w:p>
        </w:tc>
        <w:tc>
          <w:tcPr>
            <w:tcW w:type="dxa" w:w="4032"/>
            <w:shd w:fill="1E3A5F"/>
          </w:tcPr>
          <w:p>
            <w:pPr>
              <w:jc w:val="left"/>
            </w:pPr>
            <w:r/>
            <w:r>
              <w:rPr>
                <w:rFonts w:ascii="Calibri" w:hAnsi="Calibri"/>
                <w:b/>
                <w:color w:val="FFFFFF"/>
                <w:sz w:val="20"/>
              </w:rPr>
              <w:t>Scan Coverage</w:t>
            </w:r>
          </w:p>
        </w:tc>
      </w:tr>
      <w:tr>
        <w:tc>
          <w:tcPr>
            <w:tcW w:type="dxa" w:w="2880"/>
          </w:tcPr>
          <w:p>
            <w:r/>
            <w:r>
              <w:rPr>
                <w:rFonts w:ascii="Calibri" w:hAnsi="Calibri"/>
                <w:color w:val="333333"/>
                <w:sz w:val="20"/>
              </w:rPr>
              <w:t>Backend REST API</w:t>
            </w:r>
          </w:p>
        </w:tc>
        <w:tc>
          <w:tcPr>
            <w:tcW w:type="dxa" w:w="2880"/>
          </w:tcPr>
          <w:p>
            <w:r/>
            <w:r>
              <w:rPr>
                <w:rFonts w:ascii="Calibri" w:hAnsi="Calibri"/>
                <w:color w:val="333333"/>
                <w:sz w:val="20"/>
              </w:rPr>
              <w:t>.NET 10 / ASP.NET Core</w:t>
            </w:r>
          </w:p>
        </w:tc>
        <w:tc>
          <w:tcPr>
            <w:tcW w:type="dxa" w:w="4032"/>
          </w:tcPr>
          <w:p>
            <w:r/>
            <w:r>
              <w:rPr>
                <w:rFonts w:ascii="Calibri" w:hAnsi="Calibri"/>
                <w:color w:val="333333"/>
                <w:sz w:val="20"/>
              </w:rPr>
              <w:t>SAST (Semgrep), DAST (ZAP API scan)</w:t>
            </w:r>
          </w:p>
        </w:tc>
      </w:tr>
      <w:tr>
        <w:tc>
          <w:tcPr>
            <w:tcW w:type="dxa" w:w="2880"/>
            <w:shd w:fill="F5F5F5"/>
          </w:tcPr>
          <w:p>
            <w:r/>
            <w:r>
              <w:rPr>
                <w:rFonts w:ascii="Calibri" w:hAnsi="Calibri"/>
                <w:color w:val="333333"/>
                <w:sz w:val="20"/>
              </w:rPr>
              <w:t>Frontend SPA</w:t>
            </w:r>
          </w:p>
        </w:tc>
        <w:tc>
          <w:tcPr>
            <w:tcW w:type="dxa" w:w="2880"/>
            <w:shd w:fill="F5F5F5"/>
          </w:tcPr>
          <w:p>
            <w:r/>
            <w:r>
              <w:rPr>
                <w:rFonts w:ascii="Calibri" w:hAnsi="Calibri"/>
                <w:color w:val="333333"/>
                <w:sz w:val="20"/>
              </w:rPr>
              <w:t>React 19 / TypeScript 5</w:t>
            </w:r>
          </w:p>
        </w:tc>
        <w:tc>
          <w:tcPr>
            <w:tcW w:type="dxa" w:w="4032"/>
            <w:shd w:fill="F5F5F5"/>
          </w:tcPr>
          <w:p>
            <w:r/>
            <w:r>
              <w:rPr>
                <w:rFonts w:ascii="Calibri" w:hAnsi="Calibri"/>
                <w:color w:val="333333"/>
                <w:sz w:val="20"/>
              </w:rPr>
              <w:t>SAST (Semgrep)</w:t>
            </w:r>
          </w:p>
        </w:tc>
      </w:tr>
      <w:tr>
        <w:tc>
          <w:tcPr>
            <w:tcW w:type="dxa" w:w="2880"/>
          </w:tcPr>
          <w:p>
            <w:r/>
            <w:r>
              <w:rPr>
                <w:rFonts w:ascii="Calibri" w:hAnsi="Calibri"/>
                <w:color w:val="333333"/>
                <w:sz w:val="20"/>
              </w:rPr>
              <w:t>Infrastructure</w:t>
            </w:r>
          </w:p>
        </w:tc>
        <w:tc>
          <w:tcPr>
            <w:tcW w:type="dxa" w:w="2880"/>
          </w:tcPr>
          <w:p>
            <w:r/>
            <w:r>
              <w:rPr>
                <w:rFonts w:ascii="Calibri" w:hAnsi="Calibri"/>
                <w:color w:val="333333"/>
                <w:sz w:val="20"/>
              </w:rPr>
              <w:t>Azure Bicep (IaC)</w:t>
            </w:r>
          </w:p>
        </w:tc>
        <w:tc>
          <w:tcPr>
            <w:tcW w:type="dxa" w:w="4032"/>
          </w:tcPr>
          <w:p>
            <w:r/>
            <w:r>
              <w:rPr>
                <w:rFonts w:ascii="Calibri" w:hAnsi="Calibri"/>
                <w:color w:val="333333"/>
                <w:sz w:val="20"/>
              </w:rPr>
              <w:t>IaC (Checkov)</w:t>
            </w:r>
          </w:p>
        </w:tc>
      </w:tr>
      <w:tr>
        <w:tc>
          <w:tcPr>
            <w:tcW w:type="dxa" w:w="2880"/>
            <w:shd w:fill="F5F5F5"/>
          </w:tcPr>
          <w:p>
            <w:r/>
            <w:r>
              <w:rPr>
                <w:rFonts w:ascii="Calibri" w:hAnsi="Calibri"/>
                <w:color w:val="333333"/>
                <w:sz w:val="20"/>
              </w:rPr>
              <w:t>Live UAT Environment</w:t>
            </w:r>
          </w:p>
        </w:tc>
        <w:tc>
          <w:tcPr>
            <w:tcW w:type="dxa" w:w="2880"/>
            <w:shd w:fill="F5F5F5"/>
          </w:tcPr>
          <w:p>
            <w:r/>
            <w:r>
              <w:rPr>
                <w:rFonts w:ascii="Calibri" w:hAnsi="Calibri"/>
                <w:color w:val="333333"/>
                <w:sz w:val="20"/>
              </w:rPr>
              <w:t>Azure App Service</w:t>
            </w:r>
          </w:p>
        </w:tc>
        <w:tc>
          <w:tcPr>
            <w:tcW w:type="dxa" w:w="4032"/>
            <w:shd w:fill="F5F5F5"/>
          </w:tcPr>
          <w:p>
            <w:r/>
            <w:r>
              <w:rPr>
                <w:rFonts w:ascii="Calibri" w:hAnsi="Calibri"/>
                <w:color w:val="333333"/>
                <w:sz w:val="20"/>
              </w:rPr>
              <w:t>DAST (ZAP baseline + API scan)</w:t>
            </w:r>
          </w:p>
        </w:tc>
      </w:tr>
      <w:tr>
        <w:tc>
          <w:tcPr>
            <w:tcW w:type="dxa" w:w="2880"/>
          </w:tcPr>
          <w:p>
            <w:r/>
            <w:r>
              <w:rPr>
                <w:rFonts w:ascii="Calibri" w:hAnsi="Calibri"/>
                <w:color w:val="333333"/>
                <w:sz w:val="20"/>
              </w:rPr>
              <w:t>Authentication</w:t>
            </w:r>
          </w:p>
        </w:tc>
        <w:tc>
          <w:tcPr>
            <w:tcW w:type="dxa" w:w="2880"/>
          </w:tcPr>
          <w:p>
            <w:r/>
            <w:r>
              <w:rPr>
                <w:rFonts w:ascii="Calibri" w:hAnsi="Calibri"/>
                <w:color w:val="333333"/>
                <w:sz w:val="20"/>
              </w:rPr>
              <w:t>JWT Bearer / Microsoft Entra ID</w:t>
            </w:r>
          </w:p>
        </w:tc>
        <w:tc>
          <w:tcPr>
            <w:tcW w:type="dxa" w:w="4032"/>
          </w:tcPr>
          <w:p>
            <w:r/>
            <w:r>
              <w:rPr>
                <w:rFonts w:ascii="Calibri" w:hAnsi="Calibri"/>
                <w:color w:val="333333"/>
                <w:sz w:val="20"/>
              </w:rPr>
              <w:t>SAST patterns, DAST authentication flows</w:t>
            </w:r>
          </w:p>
        </w:tc>
      </w:tr>
      <w:tr>
        <w:tc>
          <w:tcPr>
            <w:tcW w:type="dxa" w:w="2880"/>
            <w:shd w:fill="F5F5F5"/>
          </w:tcPr>
          <w:p>
            <w:r/>
            <w:r>
              <w:rPr>
                <w:rFonts w:ascii="Calibri" w:hAnsi="Calibri"/>
                <w:color w:val="333333"/>
                <w:sz w:val="20"/>
              </w:rPr>
              <w:t>Real-Time Layer</w:t>
            </w:r>
          </w:p>
        </w:tc>
        <w:tc>
          <w:tcPr>
            <w:tcW w:type="dxa" w:w="2880"/>
            <w:shd w:fill="F5F5F5"/>
          </w:tcPr>
          <w:p>
            <w:r/>
            <w:r>
              <w:rPr>
                <w:rFonts w:ascii="Calibri" w:hAnsi="Calibri"/>
                <w:color w:val="333333"/>
                <w:sz w:val="20"/>
              </w:rPr>
              <w:t>Azure SignalR Service</w:t>
            </w:r>
          </w:p>
        </w:tc>
        <w:tc>
          <w:tcPr>
            <w:tcW w:type="dxa" w:w="4032"/>
            <w:shd w:fill="F5F5F5"/>
          </w:tcPr>
          <w:p>
            <w:r/>
            <w:r>
              <w:rPr>
                <w:rFonts w:ascii="Calibri" w:hAnsi="Calibri"/>
                <w:color w:val="333333"/>
                <w:sz w:val="20"/>
              </w:rPr>
              <w:t>Architecture review (not directly scanned)</w:t>
            </w:r>
          </w:p>
        </w:tc>
      </w:tr>
      <w:tr>
        <w:tc>
          <w:tcPr>
            <w:tcW w:type="dxa" w:w="2880"/>
          </w:tcPr>
          <w:p>
            <w:r/>
            <w:r>
              <w:rPr>
                <w:rFonts w:ascii="Calibri" w:hAnsi="Calibri"/>
                <w:color w:val="333333"/>
                <w:sz w:val="20"/>
              </w:rPr>
              <w:t>Database</w:t>
            </w:r>
          </w:p>
        </w:tc>
        <w:tc>
          <w:tcPr>
            <w:tcW w:type="dxa" w:w="2880"/>
          </w:tcPr>
          <w:p>
            <w:r/>
            <w:r>
              <w:rPr>
                <w:rFonts w:ascii="Calibri" w:hAnsi="Calibri"/>
                <w:color w:val="333333"/>
                <w:sz w:val="20"/>
              </w:rPr>
              <w:t>Azure SQL</w:t>
            </w:r>
          </w:p>
        </w:tc>
        <w:tc>
          <w:tcPr>
            <w:tcW w:type="dxa" w:w="4032"/>
          </w:tcPr>
          <w:p>
            <w:r/>
            <w:r>
              <w:rPr>
                <w:rFonts w:ascii="Calibri" w:hAnsi="Calibri"/>
                <w:color w:val="333333"/>
                <w:sz w:val="20"/>
              </w:rPr>
              <w:t>IaC configuration checks</w:t>
            </w:r>
          </w:p>
        </w:tc>
      </w:tr>
    </w:tbl>
    <w:p/>
    <w:p>
      <w:pPr>
        <w:pStyle w:val="Heading2"/>
      </w:pPr>
      <w:r>
        <w:t>2.2 Security Testing Tools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E3A5F"/>
          </w:tcPr>
          <w:p>
            <w:pPr>
              <w:jc w:val="left"/>
            </w:pPr>
            <w:r/>
            <w:r>
              <w:rPr>
                <w:rFonts w:ascii="Calibri" w:hAnsi="Calibri"/>
                <w:b/>
                <w:color w:val="FFFFFF"/>
                <w:sz w:val="20"/>
              </w:rPr>
              <w:t>Tool</w:t>
            </w:r>
          </w:p>
        </w:tc>
        <w:tc>
          <w:tcPr>
            <w:tcW w:type="dxa" w:w="1728"/>
            <w:shd w:fill="1E3A5F"/>
          </w:tcPr>
          <w:p>
            <w:pPr>
              <w:jc w:val="left"/>
            </w:pPr>
            <w:r/>
            <w:r>
              <w:rPr>
                <w:rFonts w:ascii="Calibri" w:hAnsi="Calibri"/>
                <w:b/>
                <w:color w:val="FFFFFF"/>
                <w:sz w:val="20"/>
              </w:rPr>
              <w:t>Version</w:t>
            </w:r>
          </w:p>
        </w:tc>
        <w:tc>
          <w:tcPr>
            <w:tcW w:type="dxa" w:w="1440"/>
            <w:shd w:fill="1E3A5F"/>
          </w:tcPr>
          <w:p>
            <w:pPr>
              <w:jc w:val="left"/>
            </w:pPr>
            <w:r/>
            <w:r>
              <w:rPr>
                <w:rFonts w:ascii="Calibri" w:hAnsi="Calibri"/>
                <w:b/>
                <w:color w:val="FFFFFF"/>
                <w:sz w:val="20"/>
              </w:rPr>
              <w:t>Type</w:t>
            </w:r>
          </w:p>
        </w:tc>
        <w:tc>
          <w:tcPr>
            <w:tcW w:type="dxa" w:w="4032"/>
            <w:shd w:fill="1E3A5F"/>
          </w:tcPr>
          <w:p>
            <w:pPr>
              <w:jc w:val="left"/>
            </w:pPr>
            <w:r/>
            <w:r>
              <w:rPr>
                <w:rFonts w:ascii="Calibri" w:hAnsi="Calibri"/>
                <w:b/>
                <w:color w:val="FFFFFF"/>
                <w:sz w:val="20"/>
              </w:rPr>
              <w:t>Standards</w:t>
            </w:r>
          </w:p>
        </w:tc>
      </w:tr>
      <w:tr>
        <w:tc>
          <w:tcPr>
            <w:tcW w:type="dxa" w:w="2592"/>
          </w:tcPr>
          <w:p>
            <w:r/>
            <w:r>
              <w:rPr>
                <w:rFonts w:ascii="Calibri" w:hAnsi="Calibri"/>
                <w:color w:val="333333"/>
                <w:sz w:val="20"/>
              </w:rPr>
              <w:t>Semgrep OSS</w:t>
            </w:r>
          </w:p>
        </w:tc>
        <w:tc>
          <w:tcPr>
            <w:tcW w:type="dxa" w:w="1728"/>
          </w:tcPr>
          <w:p>
            <w:r/>
            <w:r>
              <w:rPr>
                <w:rFonts w:ascii="Calibri" w:hAnsi="Calibri"/>
                <w:color w:val="333333"/>
                <w:sz w:val="20"/>
              </w:rPr>
              <w:t>1.153.1</w:t>
            </w:r>
          </w:p>
        </w:tc>
        <w:tc>
          <w:tcPr>
            <w:tcW w:type="dxa" w:w="1440"/>
          </w:tcPr>
          <w:p>
            <w:r/>
            <w:r>
              <w:rPr>
                <w:rFonts w:ascii="Calibri" w:hAnsi="Calibri"/>
                <w:color w:val="333333"/>
                <w:sz w:val="20"/>
              </w:rPr>
              <w:t>SAST</w:t>
            </w:r>
          </w:p>
        </w:tc>
        <w:tc>
          <w:tcPr>
            <w:tcW w:type="dxa" w:w="4032"/>
          </w:tcPr>
          <w:p>
            <w:r/>
            <w:r>
              <w:rPr>
                <w:rFonts w:ascii="Calibri" w:hAnsi="Calibri"/>
                <w:color w:val="333333"/>
                <w:sz w:val="20"/>
              </w:rPr>
              <w:t>OWASP Top 10 2025, CWE, SARIF 2.1.0</w:t>
            </w:r>
          </w:p>
        </w:tc>
      </w:tr>
      <w:tr>
        <w:tc>
          <w:tcPr>
            <w:tcW w:type="dxa" w:w="2592"/>
            <w:shd w:fill="F5F5F5"/>
          </w:tcPr>
          <w:p>
            <w:r/>
            <w:r>
              <w:rPr>
                <w:rFonts w:ascii="Calibri" w:hAnsi="Calibri"/>
                <w:color w:val="333333"/>
                <w:sz w:val="20"/>
              </w:rPr>
              <w:t>OWASP ZAP</w:t>
            </w:r>
          </w:p>
        </w:tc>
        <w:tc>
          <w:tcPr>
            <w:tcW w:type="dxa" w:w="1728"/>
            <w:shd w:fill="F5F5F5"/>
          </w:tcPr>
          <w:p>
            <w:r/>
            <w:r>
              <w:rPr>
                <w:rFonts w:ascii="Calibri" w:hAnsi="Calibri"/>
                <w:color w:val="333333"/>
                <w:sz w:val="20"/>
              </w:rPr>
              <w:t>2.17.0</w:t>
            </w:r>
          </w:p>
        </w:tc>
        <w:tc>
          <w:tcPr>
            <w:tcW w:type="dxa" w:w="1440"/>
            <w:shd w:fill="F5F5F5"/>
          </w:tcPr>
          <w:p>
            <w:r/>
            <w:r>
              <w:rPr>
                <w:rFonts w:ascii="Calibri" w:hAnsi="Calibri"/>
                <w:color w:val="333333"/>
                <w:sz w:val="20"/>
              </w:rPr>
              <w:t>DAST</w:t>
            </w:r>
          </w:p>
        </w:tc>
        <w:tc>
          <w:tcPr>
            <w:tcW w:type="dxa" w:w="4032"/>
            <w:shd w:fill="F5F5F5"/>
          </w:tcPr>
          <w:p>
            <w:r/>
            <w:r>
              <w:rPr>
                <w:rFonts w:ascii="Calibri" w:hAnsi="Calibri"/>
                <w:color w:val="333333"/>
                <w:sz w:val="20"/>
              </w:rPr>
              <w:t>OWASP Testing Guide, SARIF 2.1.0</w:t>
            </w:r>
          </w:p>
        </w:tc>
      </w:tr>
      <w:tr>
        <w:tc>
          <w:tcPr>
            <w:tcW w:type="dxa" w:w="2592"/>
          </w:tcPr>
          <w:p>
            <w:r/>
            <w:r>
              <w:rPr>
                <w:rFonts w:ascii="Calibri" w:hAnsi="Calibri"/>
                <w:color w:val="333333"/>
                <w:sz w:val="20"/>
              </w:rPr>
              <w:t>Checkov</w:t>
            </w:r>
          </w:p>
        </w:tc>
        <w:tc>
          <w:tcPr>
            <w:tcW w:type="dxa" w:w="1728"/>
          </w:tcPr>
          <w:p>
            <w:r/>
            <w:r>
              <w:rPr>
                <w:rFonts w:ascii="Calibri" w:hAnsi="Calibri"/>
                <w:color w:val="333333"/>
                <w:sz w:val="20"/>
              </w:rPr>
              <w:t>3.2.507</w:t>
            </w:r>
          </w:p>
        </w:tc>
        <w:tc>
          <w:tcPr>
            <w:tcW w:type="dxa" w:w="1440"/>
          </w:tcPr>
          <w:p>
            <w:r/>
            <w:r>
              <w:rPr>
                <w:rFonts w:ascii="Calibri" w:hAnsi="Calibri"/>
                <w:color w:val="333333"/>
                <w:sz w:val="20"/>
              </w:rPr>
              <w:t>IaC</w:t>
            </w:r>
          </w:p>
        </w:tc>
        <w:tc>
          <w:tcPr>
            <w:tcW w:type="dxa" w:w="4032"/>
          </w:tcPr>
          <w:p>
            <w:r/>
            <w:r>
              <w:rPr>
                <w:rFonts w:ascii="Calibri" w:hAnsi="Calibri"/>
                <w:color w:val="333333"/>
                <w:sz w:val="20"/>
              </w:rPr>
              <w:t>CIS Benchmarks, Azure Best Practices, SARIF 2.1.0</w:t>
            </w:r>
          </w:p>
        </w:tc>
      </w:tr>
    </w:tbl>
    <w:p/>
    <w:p>
      <w:pPr>
        <w:pStyle w:val="Heading2"/>
      </w:pPr>
      <w:r>
        <w:t>2.3 Scan Configuration</w:t>
      </w:r>
    </w:p>
    <w:p>
      <w:pPr>
        <w:pStyle w:val="Heading3"/>
      </w:pPr>
      <w:r>
        <w:t>Semgrep (SAST)</w:t>
      </w:r>
    </w:p>
    <w:p>
      <w:r>
        <w:rPr>
          <w:rFonts w:ascii="Calibri" w:hAnsi="Calibri"/>
          <w:color w:val="333333"/>
          <w:sz w:val="22"/>
        </w:rPr>
        <w:t>Semgrep runs against the full source tree with the following rule packs enabled: auto, csharp, typescript, react, secrets, and owasp-top-ten. Only findings at ERROR and WARNING severity are included in the consolidated report. The scan covers C# backend code, TypeScript/React frontend code, and configuration files for hardcoded secrets.</w:t>
      </w:r>
    </w:p>
    <w:p>
      <w:pPr>
        <w:pStyle w:val="Heading3"/>
      </w:pPr>
      <w:r>
        <w:t>OWASP ZAP (DAST)</w:t>
      </w:r>
    </w:p>
    <w:p>
      <w:r>
        <w:rPr>
          <w:rFonts w:ascii="Calibri" w:hAnsi="Calibri"/>
          <w:color w:val="333333"/>
          <w:sz w:val="22"/>
        </w:rPr>
        <w:t>ZAP runs two scan profiles against the UAT environment:</w:t>
      </w:r>
    </w:p>
    <w:p>
      <w:pPr>
        <w:pStyle w:val="ListBullet"/>
      </w:pPr>
      <w:r>
        <w:rPr>
          <w:rFonts w:ascii="Calibri" w:hAnsi="Calibri"/>
          <w:color w:val="333333"/>
          <w:sz w:val="22"/>
        </w:rPr>
        <w:t>Baseline Scan (weekly): Unauthenticated passive scan that spiders the application and checks HTTP headers, cookies, and common misconfigurations.</w:t>
      </w:r>
    </w:p>
    <w:p>
      <w:pPr>
        <w:pStyle w:val="ListBullet"/>
      </w:pPr>
      <w:r>
        <w:rPr>
          <w:rFonts w:ascii="Calibri" w:hAnsi="Calibri"/>
          <w:color w:val="333333"/>
          <w:sz w:val="22"/>
        </w:rPr>
        <w:t>API Scan (monthly): Authenticated active scan driven by the OpenAPI specification. Tests every API endpoint for injection, XSS, authentication bypass, and other OWASP attack vectors.</w:t>
      </w:r>
    </w:p>
    <w:p>
      <w:r>
        <w:rPr>
          <w:rFonts w:ascii="Calibri" w:hAnsi="Calibri"/>
          <w:color w:val="333333"/>
          <w:sz w:val="22"/>
        </w:rPr>
        <w:t>ZAP scan behavior is customized via a rules.tsv configuration file that excludes known false positives and accepted risks: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E3A5F"/>
          </w:tcPr>
          <w:p>
            <w:pPr>
              <w:jc w:val="left"/>
            </w:pPr>
            <w:r/>
            <w:r>
              <w:rPr>
                <w:rFonts w:ascii="Calibri" w:hAnsi="Calibri"/>
                <w:b/>
                <w:color w:val="FFFFFF"/>
                <w:sz w:val="20"/>
              </w:rPr>
              <w:t>Rule ID</w:t>
            </w:r>
          </w:p>
        </w:tc>
        <w:tc>
          <w:tcPr>
            <w:tcW w:type="dxa" w:w="1440"/>
            <w:shd w:fill="1E3A5F"/>
          </w:tcPr>
          <w:p>
            <w:pPr>
              <w:jc w:val="left"/>
            </w:pPr>
            <w:r/>
            <w:r>
              <w:rPr>
                <w:rFonts w:ascii="Calibri" w:hAnsi="Calibri"/>
                <w:b/>
                <w:color w:val="FFFFFF"/>
                <w:sz w:val="20"/>
              </w:rPr>
              <w:t>Action</w:t>
            </w:r>
          </w:p>
        </w:tc>
        <w:tc>
          <w:tcPr>
            <w:tcW w:type="dxa" w:w="6912"/>
            <w:shd w:fill="1E3A5F"/>
          </w:tcPr>
          <w:p>
            <w:pPr>
              <w:jc w:val="left"/>
            </w:pPr>
            <w:r/>
            <w:r>
              <w:rPr>
                <w:rFonts w:ascii="Calibri" w:hAnsi="Calibri"/>
                <w:b/>
                <w:color w:val="FFFFFF"/>
                <w:sz w:val="20"/>
              </w:rPr>
              <w:t>Rationale</w:t>
            </w:r>
          </w:p>
        </w:tc>
      </w:tr>
      <w:tr>
        <w:tc>
          <w:tcPr>
            <w:tcW w:type="dxa" w:w="1440"/>
          </w:tcPr>
          <w:p>
            <w:r/>
            <w:r>
              <w:rPr>
                <w:rFonts w:ascii="Calibri" w:hAnsi="Calibri"/>
                <w:color w:val="333333"/>
                <w:sz w:val="20"/>
              </w:rPr>
              <w:t>10038</w:t>
            </w:r>
          </w:p>
        </w:tc>
        <w:tc>
          <w:tcPr>
            <w:tcW w:type="dxa" w:w="1440"/>
          </w:tcPr>
          <w:p>
            <w:r/>
            <w:r>
              <w:rPr>
                <w:rFonts w:ascii="Calibri" w:hAnsi="Calibri"/>
                <w:color w:val="333333"/>
                <w:sz w:val="20"/>
              </w:rPr>
              <w:t>IGNORE</w:t>
            </w:r>
          </w:p>
        </w:tc>
        <w:tc>
          <w:tcPr>
            <w:tcW w:type="dxa" w:w="6912"/>
          </w:tcPr>
          <w:p>
            <w:r/>
            <w:r>
              <w:rPr>
                <w:rFonts w:ascii="Calibri" w:hAnsi="Calibri"/>
                <w:color w:val="333333"/>
                <w:sz w:val="20"/>
              </w:rPr>
              <w:t>CSP Header Not Set — will address with CSP implementation</w:t>
            </w:r>
          </w:p>
        </w:tc>
      </w:tr>
      <w:tr>
        <w:tc>
          <w:tcPr>
            <w:tcW w:type="dxa" w:w="1440"/>
            <w:shd w:fill="F5F5F5"/>
          </w:tcPr>
          <w:p>
            <w:r/>
            <w:r>
              <w:rPr>
                <w:rFonts w:ascii="Calibri" w:hAnsi="Calibri"/>
                <w:color w:val="333333"/>
                <w:sz w:val="20"/>
              </w:rPr>
              <w:t>10063</w:t>
            </w:r>
          </w:p>
        </w:tc>
        <w:tc>
          <w:tcPr>
            <w:tcW w:type="dxa" w:w="1440"/>
            <w:shd w:fill="F5F5F5"/>
          </w:tcPr>
          <w:p>
            <w:r/>
            <w:r>
              <w:rPr>
                <w:rFonts w:ascii="Calibri" w:hAnsi="Calibri"/>
                <w:color w:val="333333"/>
                <w:sz w:val="20"/>
              </w:rPr>
              <w:t>IGNORE</w:t>
            </w:r>
          </w:p>
        </w:tc>
        <w:tc>
          <w:tcPr>
            <w:tcW w:type="dxa" w:w="6912"/>
            <w:shd w:fill="F5F5F5"/>
          </w:tcPr>
          <w:p>
            <w:r/>
            <w:r>
              <w:rPr>
                <w:rFonts w:ascii="Calibri" w:hAnsi="Calibri"/>
                <w:color w:val="333333"/>
                <w:sz w:val="20"/>
              </w:rPr>
              <w:t>Permissions Policy Header Not Set — low risk for internal API</w:t>
            </w:r>
          </w:p>
        </w:tc>
      </w:tr>
      <w:tr>
        <w:tc>
          <w:tcPr>
            <w:tcW w:type="dxa" w:w="1440"/>
          </w:tcPr>
          <w:p>
            <w:r/>
            <w:r>
              <w:rPr>
                <w:rFonts w:ascii="Calibri" w:hAnsi="Calibri"/>
                <w:color w:val="333333"/>
                <w:sz w:val="20"/>
              </w:rPr>
              <w:t>90033</w:t>
            </w:r>
          </w:p>
        </w:tc>
        <w:tc>
          <w:tcPr>
            <w:tcW w:type="dxa" w:w="1440"/>
          </w:tcPr>
          <w:p>
            <w:r/>
            <w:r>
              <w:rPr>
                <w:rFonts w:ascii="Calibri" w:hAnsi="Calibri"/>
                <w:color w:val="333333"/>
                <w:sz w:val="20"/>
              </w:rPr>
              <w:t>IGNORE</w:t>
            </w:r>
          </w:p>
        </w:tc>
        <w:tc>
          <w:tcPr>
            <w:tcW w:type="dxa" w:w="6912"/>
          </w:tcPr>
          <w:p>
            <w:r/>
            <w:r>
              <w:rPr>
                <w:rFonts w:ascii="Calibri" w:hAnsi="Calibri"/>
                <w:color w:val="333333"/>
                <w:sz w:val="20"/>
              </w:rPr>
              <w:t>Loosely Scoped Cookie — Azure auth cookies are scoped by platform</w:t>
            </w:r>
          </w:p>
        </w:tc>
      </w:tr>
      <w:tr>
        <w:tc>
          <w:tcPr>
            <w:tcW w:type="dxa" w:w="1440"/>
            <w:shd w:fill="F5F5F5"/>
          </w:tcPr>
          <w:p>
            <w:r/>
            <w:r>
              <w:rPr>
                <w:rFonts w:ascii="Calibri" w:hAnsi="Calibri"/>
                <w:color w:val="333333"/>
                <w:sz w:val="20"/>
              </w:rPr>
              <w:t>10202</w:t>
            </w:r>
          </w:p>
        </w:tc>
        <w:tc>
          <w:tcPr>
            <w:tcW w:type="dxa" w:w="1440"/>
            <w:shd w:fill="F5F5F5"/>
          </w:tcPr>
          <w:p>
            <w:r/>
            <w:r>
              <w:rPr>
                <w:rFonts w:ascii="Calibri" w:hAnsi="Calibri"/>
                <w:color w:val="333333"/>
                <w:sz w:val="20"/>
              </w:rPr>
              <w:t>IGNORE</w:t>
            </w:r>
          </w:p>
        </w:tc>
        <w:tc>
          <w:tcPr>
            <w:tcW w:type="dxa" w:w="6912"/>
            <w:shd w:fill="F5F5F5"/>
          </w:tcPr>
          <w:p>
            <w:r/>
            <w:r>
              <w:rPr>
                <w:rFonts w:ascii="Calibri" w:hAnsi="Calibri"/>
                <w:color w:val="333333"/>
                <w:sz w:val="20"/>
              </w:rPr>
              <w:t>Anti-CSRF Tokens — API uses JWT bearer auth, not cookie-based sessions</w:t>
            </w:r>
          </w:p>
        </w:tc>
      </w:tr>
      <w:tr>
        <w:tc>
          <w:tcPr>
            <w:tcW w:type="dxa" w:w="1440"/>
          </w:tcPr>
          <w:p>
            <w:r/>
            <w:r>
              <w:rPr>
                <w:rFonts w:ascii="Calibri" w:hAnsi="Calibri"/>
                <w:color w:val="333333"/>
                <w:sz w:val="20"/>
              </w:rPr>
              <w:t>10098</w:t>
            </w:r>
          </w:p>
        </w:tc>
        <w:tc>
          <w:tcPr>
            <w:tcW w:type="dxa" w:w="1440"/>
          </w:tcPr>
          <w:p>
            <w:r/>
            <w:r>
              <w:rPr>
                <w:rFonts w:ascii="Calibri" w:hAnsi="Calibri"/>
                <w:color w:val="333333"/>
                <w:sz w:val="20"/>
              </w:rPr>
              <w:t>WARN</w:t>
            </w:r>
          </w:p>
        </w:tc>
        <w:tc>
          <w:tcPr>
            <w:tcW w:type="dxa" w:w="6912"/>
          </w:tcPr>
          <w:p>
            <w:r/>
            <w:r>
              <w:rPr>
                <w:rFonts w:ascii="Calibri" w:hAnsi="Calibri"/>
                <w:color w:val="333333"/>
                <w:sz w:val="20"/>
              </w:rPr>
              <w:t>Cross-Domain Misconfiguration — review if flagged</w:t>
            </w:r>
          </w:p>
        </w:tc>
      </w:tr>
      <w:tr>
        <w:tc>
          <w:tcPr>
            <w:tcW w:type="dxa" w:w="1440"/>
            <w:shd w:fill="F5F5F5"/>
          </w:tcPr>
          <w:p>
            <w:r/>
            <w:r>
              <w:rPr>
                <w:rFonts w:ascii="Calibri" w:hAnsi="Calibri"/>
                <w:color w:val="333333"/>
                <w:sz w:val="20"/>
              </w:rPr>
              <w:t>10020</w:t>
            </w:r>
          </w:p>
        </w:tc>
        <w:tc>
          <w:tcPr>
            <w:tcW w:type="dxa" w:w="1440"/>
            <w:shd w:fill="F5F5F5"/>
          </w:tcPr>
          <w:p>
            <w:r/>
            <w:r>
              <w:rPr>
                <w:rFonts w:ascii="Calibri" w:hAnsi="Calibri"/>
                <w:color w:val="333333"/>
                <w:sz w:val="20"/>
              </w:rPr>
              <w:t>WARN</w:t>
            </w:r>
          </w:p>
        </w:tc>
        <w:tc>
          <w:tcPr>
            <w:tcW w:type="dxa" w:w="6912"/>
            <w:shd w:fill="F5F5F5"/>
          </w:tcPr>
          <w:p>
            <w:r/>
            <w:r>
              <w:rPr>
                <w:rFonts w:ascii="Calibri" w:hAnsi="Calibri"/>
                <w:color w:val="333333"/>
                <w:sz w:val="20"/>
              </w:rPr>
              <w:t>X-Frame-Options Header — should be set but not blocking</w:t>
            </w:r>
          </w:p>
        </w:tc>
      </w:tr>
      <w:tr>
        <w:tc>
          <w:tcPr>
            <w:tcW w:type="dxa" w:w="1440"/>
          </w:tcPr>
          <w:p>
            <w:r/>
            <w:r>
              <w:rPr>
                <w:rFonts w:ascii="Calibri" w:hAnsi="Calibri"/>
                <w:color w:val="333333"/>
                <w:sz w:val="20"/>
              </w:rPr>
              <w:t>10021</w:t>
            </w:r>
          </w:p>
        </w:tc>
        <w:tc>
          <w:tcPr>
            <w:tcW w:type="dxa" w:w="1440"/>
          </w:tcPr>
          <w:p>
            <w:r/>
            <w:r>
              <w:rPr>
                <w:rFonts w:ascii="Calibri" w:hAnsi="Calibri"/>
                <w:color w:val="333333"/>
                <w:sz w:val="20"/>
              </w:rPr>
              <w:t>WARN</w:t>
            </w:r>
          </w:p>
        </w:tc>
        <w:tc>
          <w:tcPr>
            <w:tcW w:type="dxa" w:w="6912"/>
          </w:tcPr>
          <w:p>
            <w:r/>
            <w:r>
              <w:rPr>
                <w:rFonts w:ascii="Calibri" w:hAnsi="Calibri"/>
                <w:color w:val="333333"/>
                <w:sz w:val="20"/>
              </w:rPr>
              <w:t>X-Content-Type-Options Header Missing — should be set</w:t>
            </w:r>
          </w:p>
        </w:tc>
      </w:tr>
      <w:tr>
        <w:tc>
          <w:tcPr>
            <w:tcW w:type="dxa" w:w="1440"/>
            <w:shd w:fill="F5F5F5"/>
          </w:tcPr>
          <w:p>
            <w:r/>
            <w:r>
              <w:rPr>
                <w:rFonts w:ascii="Calibri" w:hAnsi="Calibri"/>
                <w:color w:val="333333"/>
                <w:sz w:val="20"/>
              </w:rPr>
              <w:t>10036</w:t>
            </w:r>
          </w:p>
        </w:tc>
        <w:tc>
          <w:tcPr>
            <w:tcW w:type="dxa" w:w="1440"/>
            <w:shd w:fill="F5F5F5"/>
          </w:tcPr>
          <w:p>
            <w:r/>
            <w:r>
              <w:rPr>
                <w:rFonts w:ascii="Calibri" w:hAnsi="Calibri"/>
                <w:color w:val="333333"/>
                <w:sz w:val="20"/>
              </w:rPr>
              <w:t>WARN</w:t>
            </w:r>
          </w:p>
        </w:tc>
        <w:tc>
          <w:tcPr>
            <w:tcW w:type="dxa" w:w="6912"/>
            <w:shd w:fill="F5F5F5"/>
          </w:tcPr>
          <w:p>
            <w:r/>
            <w:r>
              <w:rPr>
                <w:rFonts w:ascii="Calibri" w:hAnsi="Calibri"/>
                <w:color w:val="333333"/>
                <w:sz w:val="20"/>
              </w:rPr>
              <w:t>Server Leaks Version Information — cosmetic but worth fixing</w:t>
            </w:r>
          </w:p>
        </w:tc>
      </w:tr>
      <w:tr>
        <w:tc>
          <w:tcPr>
            <w:tcW w:type="dxa" w:w="1440"/>
          </w:tcPr>
          <w:p>
            <w:r/>
            <w:r>
              <w:rPr>
                <w:rFonts w:ascii="Calibri" w:hAnsi="Calibri"/>
                <w:color w:val="333333"/>
                <w:sz w:val="20"/>
              </w:rPr>
              <w:t>40012</w:t>
            </w:r>
          </w:p>
        </w:tc>
        <w:tc>
          <w:tcPr>
            <w:tcW w:type="dxa" w:w="1440"/>
          </w:tcPr>
          <w:p>
            <w:r/>
            <w:r>
              <w:rPr>
                <w:rFonts w:ascii="Calibri" w:hAnsi="Calibri"/>
                <w:color w:val="333333"/>
                <w:sz w:val="20"/>
              </w:rPr>
              <w:t>WARN</w:t>
            </w:r>
          </w:p>
        </w:tc>
        <w:tc>
          <w:tcPr>
            <w:tcW w:type="dxa" w:w="6912"/>
          </w:tcPr>
          <w:p>
            <w:r/>
            <w:r>
              <w:rPr>
                <w:rFonts w:ascii="Calibri" w:hAnsi="Calibri"/>
                <w:color w:val="333333"/>
                <w:sz w:val="20"/>
              </w:rPr>
              <w:t>Reflected XSS — review findings from active scan</w:t>
            </w:r>
          </w:p>
        </w:tc>
      </w:tr>
      <w:tr>
        <w:tc>
          <w:tcPr>
            <w:tcW w:type="dxa" w:w="1440"/>
            <w:shd w:fill="F5F5F5"/>
          </w:tcPr>
          <w:p>
            <w:r/>
            <w:r>
              <w:rPr>
                <w:rFonts w:ascii="Calibri" w:hAnsi="Calibri"/>
                <w:color w:val="333333"/>
                <w:sz w:val="20"/>
              </w:rPr>
              <w:t>40014</w:t>
            </w:r>
          </w:p>
        </w:tc>
        <w:tc>
          <w:tcPr>
            <w:tcW w:type="dxa" w:w="1440"/>
            <w:shd w:fill="F5F5F5"/>
          </w:tcPr>
          <w:p>
            <w:r/>
            <w:r>
              <w:rPr>
                <w:rFonts w:ascii="Calibri" w:hAnsi="Calibri"/>
                <w:color w:val="333333"/>
                <w:sz w:val="20"/>
              </w:rPr>
              <w:t>WARN</w:t>
            </w:r>
          </w:p>
        </w:tc>
        <w:tc>
          <w:tcPr>
            <w:tcW w:type="dxa" w:w="6912"/>
            <w:shd w:fill="F5F5F5"/>
          </w:tcPr>
          <w:p>
            <w:r/>
            <w:r>
              <w:rPr>
                <w:rFonts w:ascii="Calibri" w:hAnsi="Calibri"/>
                <w:color w:val="333333"/>
                <w:sz w:val="20"/>
              </w:rPr>
              <w:t>Persistent XSS — review findings from active scan</w:t>
            </w:r>
          </w:p>
        </w:tc>
      </w:tr>
      <w:tr>
        <w:tc>
          <w:tcPr>
            <w:tcW w:type="dxa" w:w="1440"/>
          </w:tcPr>
          <w:p>
            <w:r/>
            <w:r>
              <w:rPr>
                <w:rFonts w:ascii="Calibri" w:hAnsi="Calibri"/>
                <w:color w:val="333333"/>
                <w:sz w:val="20"/>
              </w:rPr>
              <w:t>40018</w:t>
            </w:r>
          </w:p>
        </w:tc>
        <w:tc>
          <w:tcPr>
            <w:tcW w:type="dxa" w:w="1440"/>
          </w:tcPr>
          <w:p>
            <w:r/>
            <w:r>
              <w:rPr>
                <w:rFonts w:ascii="Calibri" w:hAnsi="Calibri"/>
                <w:color w:val="333333"/>
                <w:sz w:val="20"/>
              </w:rPr>
              <w:t>WARN</w:t>
            </w:r>
          </w:p>
        </w:tc>
        <w:tc>
          <w:tcPr>
            <w:tcW w:type="dxa" w:w="6912"/>
          </w:tcPr>
          <w:p>
            <w:r/>
            <w:r>
              <w:rPr>
                <w:rFonts w:ascii="Calibri" w:hAnsi="Calibri"/>
                <w:color w:val="333333"/>
                <w:sz w:val="20"/>
              </w:rPr>
              <w:t>SQL Injection — review findings from active scan</w:t>
            </w:r>
          </w:p>
        </w:tc>
      </w:tr>
      <w:tr>
        <w:tc>
          <w:tcPr>
            <w:tcW w:type="dxa" w:w="1440"/>
            <w:shd w:fill="F5F5F5"/>
          </w:tcPr>
          <w:p>
            <w:r/>
            <w:r>
              <w:rPr>
                <w:rFonts w:ascii="Calibri" w:hAnsi="Calibri"/>
                <w:color w:val="333333"/>
                <w:sz w:val="20"/>
              </w:rPr>
              <w:t>40003</w:t>
            </w:r>
          </w:p>
        </w:tc>
        <w:tc>
          <w:tcPr>
            <w:tcW w:type="dxa" w:w="1440"/>
            <w:shd w:fill="F5F5F5"/>
          </w:tcPr>
          <w:p>
            <w:r/>
            <w:r>
              <w:rPr>
                <w:rFonts w:ascii="Calibri" w:hAnsi="Calibri"/>
                <w:color w:val="333333"/>
                <w:sz w:val="20"/>
              </w:rPr>
              <w:t>WARN</w:t>
            </w:r>
          </w:p>
        </w:tc>
        <w:tc>
          <w:tcPr>
            <w:tcW w:type="dxa" w:w="6912"/>
            <w:shd w:fill="F5F5F5"/>
          </w:tcPr>
          <w:p>
            <w:r/>
            <w:r>
              <w:rPr>
                <w:rFonts w:ascii="Calibri" w:hAnsi="Calibri"/>
                <w:color w:val="333333"/>
                <w:sz w:val="20"/>
              </w:rPr>
              <w:t>CRLF Injection — review findings from active scan</w:t>
            </w:r>
          </w:p>
        </w:tc>
      </w:tr>
    </w:tbl>
    <w:p/>
    <w:p>
      <w:pPr>
        <w:pStyle w:val="Heading3"/>
      </w:pPr>
      <w:r>
        <w:t>Checkov (IaC)</w:t>
      </w:r>
    </w:p>
    <w:p>
      <w:r>
        <w:rPr>
          <w:rFonts w:ascii="Calibri" w:hAnsi="Calibri"/>
          <w:color w:val="333333"/>
          <w:sz w:val="22"/>
        </w:rPr>
        <w:t>Checkov scans all Azure Bicep templates in the infrastructure/ directory against the CIS Azure benchmark and Checkov's built-in Azure policy framework. The scan evaluates resource configurations for security best practices including encryption, network isolation, identity management, and logging.</w:t>
      </w:r>
    </w:p>
    <w:p>
      <w:pPr>
        <w:pStyle w:val="Heading2"/>
      </w:pPr>
      <w:r>
        <w:t>2.4 Limitations &amp; Coverage Gaps</w:t>
      </w:r>
    </w:p>
    <w:p>
      <w:r>
        <w:rPr>
          <w:rFonts w:ascii="Calibri" w:hAnsi="Calibri"/>
          <w:color w:val="333333"/>
          <w:sz w:val="22"/>
        </w:rPr>
        <w:t>This assessment has the following known limitations that should be considered when evaluating the results:</w:t>
      </w:r>
    </w:p>
    <w:p>
      <w:pPr>
        <w:pStyle w:val="ListBullet"/>
      </w:pPr>
      <w:r>
        <w:rPr>
          <w:rFonts w:ascii="Calibri" w:hAnsi="Calibri"/>
          <w:color w:val="333333"/>
          <w:sz w:val="22"/>
        </w:rPr>
        <w:t>No manual penetration testing: This is an automated-only assessment. Manual testing by a skilled tester can find business logic flaws, authorization bypasses, and chained vulnerabilities that automated tools miss.</w:t>
      </w:r>
    </w:p>
    <w:p>
      <w:pPr>
        <w:pStyle w:val="ListBullet"/>
      </w:pPr>
      <w:r>
        <w:rPr>
          <w:rFonts w:ascii="Calibri" w:hAnsi="Calibri"/>
          <w:color w:val="333333"/>
          <w:sz w:val="22"/>
        </w:rPr>
        <w:t>No red team or social engineering testing.</w:t>
      </w:r>
    </w:p>
    <w:p>
      <w:pPr>
        <w:pStyle w:val="ListBullet"/>
      </w:pPr>
      <w:r>
        <w:rPr>
          <w:rFonts w:ascii="Calibri" w:hAnsi="Calibri"/>
          <w:color w:val="333333"/>
          <w:sz w:val="22"/>
        </w:rPr>
        <w:t>SAST C# coverage is limited: Semgrep OSS has fewer rules for C# compared to TypeScript or Python. Commercial SAST tools (e.g., Semgrep Pro, Snyk Code, SonarQube) offer deeper C#/.NET analysis including taint tracking and data flow analysis.</w:t>
      </w:r>
    </w:p>
    <w:p>
      <w:pPr>
        <w:pStyle w:val="ListBullet"/>
      </w:pPr>
      <w:r>
        <w:rPr>
          <w:rFonts w:ascii="Calibri" w:hAnsi="Calibri"/>
          <w:color w:val="333333"/>
          <w:sz w:val="22"/>
        </w:rPr>
        <w:t>DAST does not cover SignalR WebSocket connections, file upload handlers, or complex multi-step authentication flows. These would require specialized testing tools or manual assessment.</w:t>
      </w:r>
    </w:p>
    <w:p>
      <w:pPr>
        <w:pStyle w:val="ListBullet"/>
      </w:pPr>
      <w:r>
        <w:rPr>
          <w:rFonts w:ascii="Calibri" w:hAnsi="Calibri"/>
          <w:color w:val="333333"/>
          <w:sz w:val="22"/>
        </w:rPr>
        <w:t>DAST scan uses a single authenticated user context. It does not test horizontal privilege escalation (accessing another user's data) or vertical privilege escalation (performing admin actions as a regular user).</w:t>
      </w:r>
    </w:p>
    <w:p>
      <w:pPr>
        <w:pStyle w:val="ListBullet"/>
      </w:pPr>
      <w:r>
        <w:rPr>
          <w:rFonts w:ascii="Calibri" w:hAnsi="Calibri"/>
          <w:color w:val="333333"/>
          <w:sz w:val="22"/>
        </w:rPr>
        <w:t>Dependency vulnerability scanning (SCA) is handled separately by GitHub Dependabot and is not included in this report.</w:t>
      </w:r>
    </w:p>
    <w:p>
      <w:pPr>
        <w:pStyle w:val="ListBullet"/>
      </w:pPr>
      <w:r>
        <w:rPr>
          <w:rFonts w:ascii="Calibri" w:hAnsi="Calibri"/>
          <w:color w:val="333333"/>
          <w:sz w:val="22"/>
        </w:rPr>
        <w:t>The DAST scan targets the UAT environment, which mirrors production configuration but may differ in data volume, network topology, and load characteristics.</w:t>
      </w:r>
    </w:p>
    <w:p>
      <w:pPr>
        <w:pStyle w:val="ListBullet"/>
      </w:pPr>
      <w:r>
        <w:rPr>
          <w:rFonts w:ascii="Calibri" w:hAnsi="Calibri"/>
          <w:color w:val="333333"/>
          <w:sz w:val="22"/>
        </w:rPr>
        <w:t>IaC scanning evaluates Bicep templates only. Runtime Azure configuration drift from the templates is not detected.</w:t>
      </w:r>
    </w:p>
    <w:p>
      <w:pPr>
        <w:pStyle w:val="Heading2"/>
      </w:pPr>
      <w:r>
        <w:t>2.5 Architecture Review Scope</w:t>
      </w:r>
    </w:p>
    <w:p>
      <w:r>
        <w:rPr>
          <w:rFonts w:ascii="Calibri" w:hAnsi="Calibri"/>
          <w:color w:val="333333"/>
          <w:sz w:val="22"/>
        </w:rPr>
        <w:t>The security architecture described in Section 3 was reviewed by the development team against the OWASP Application Security Verification Standard (ASVS) Level 1 requirements. The review examined authentication flows, authorization enforcement, multi-tenancy isolation, and data protection controls as implemented in the source code and infrastructure templates.</w:t>
      </w:r>
    </w:p>
    <w:p>
      <w:r>
        <w:rPr>
          <w:rFonts w:ascii="Calibri" w:hAnsi="Calibri"/>
          <w:color w:val="333333"/>
          <w:sz w:val="22"/>
        </w:rPr>
        <w:t>This architecture review was conducted internally by the Dynamis engineering team, not by an independent reviewer. The review methodology consisted of code inspection (examining authentication middleware, authorization attributes, EF Core query filters, and JWT claim handling) and infrastructure template analysis. No formal architecture threat modeling workshop was conducted. The threat model in Section 2.6 was developed from the architecture review and should be validated by an independent security professional.</w:t>
      </w:r>
    </w:p>
    <w:p>
      <w:pPr>
        <w:pStyle w:val="Heading2"/>
      </w:pPr>
      <w:r>
        <w:t>2.6 Threat Model</w:t>
      </w:r>
    </w:p>
    <w:p>
      <w:r>
        <w:rPr>
          <w:rFonts w:ascii="Calibri" w:hAnsi="Calibri"/>
          <w:color w:val="333333"/>
          <w:sz w:val="22"/>
        </w:rPr>
        <w:t>The risk ratings in this report are calibrated against the following threat model. Without a threat model, risk classifications would be the assessor's intuition rather than a structured analysis.</w:t>
      </w:r>
    </w:p>
    <w:p>
      <w:pPr>
        <w:pStyle w:val="Heading3"/>
      </w:pPr>
      <w:r>
        <w:t>Adversary Profiles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E3A5F"/>
          </w:tcPr>
          <w:p>
            <w:pPr>
              <w:jc w:val="left"/>
            </w:pPr>
            <w:r/>
            <w:r>
              <w:rPr>
                <w:rFonts w:ascii="Calibri" w:hAnsi="Calibri"/>
                <w:b/>
                <w:color w:val="FFFFFF"/>
                <w:sz w:val="20"/>
              </w:rPr>
              <w:t>Adversary</w:t>
            </w:r>
          </w:p>
        </w:tc>
        <w:tc>
          <w:tcPr>
            <w:tcW w:type="dxa" w:w="3168"/>
            <w:shd w:fill="1E3A5F"/>
          </w:tcPr>
          <w:p>
            <w:pPr>
              <w:jc w:val="left"/>
            </w:pPr>
            <w:r/>
            <w:r>
              <w:rPr>
                <w:rFonts w:ascii="Calibri" w:hAnsi="Calibri"/>
                <w:b/>
                <w:color w:val="FFFFFF"/>
                <w:sz w:val="20"/>
              </w:rPr>
              <w:t>Motivation</w:t>
            </w:r>
          </w:p>
        </w:tc>
        <w:tc>
          <w:tcPr>
            <w:tcW w:type="dxa" w:w="2880"/>
            <w:shd w:fill="1E3A5F"/>
          </w:tcPr>
          <w:p>
            <w:pPr>
              <w:jc w:val="left"/>
            </w:pPr>
            <w:r/>
            <w:r>
              <w:rPr>
                <w:rFonts w:ascii="Calibri" w:hAnsi="Calibri"/>
                <w:b/>
                <w:color w:val="FFFFFF"/>
                <w:sz w:val="20"/>
              </w:rPr>
              <w:t>Capability</w:t>
            </w:r>
          </w:p>
        </w:tc>
        <w:tc>
          <w:tcPr>
            <w:tcW w:type="dxa" w:w="1584"/>
            <w:shd w:fill="1E3A5F"/>
          </w:tcPr>
          <w:p>
            <w:pPr>
              <w:jc w:val="left"/>
            </w:pPr>
            <w:r/>
            <w:r>
              <w:rPr>
                <w:rFonts w:ascii="Calibri" w:hAnsi="Calibri"/>
                <w:b/>
                <w:color w:val="FFFFFF"/>
                <w:sz w:val="20"/>
              </w:rPr>
              <w:t>Likelihood</w:t>
            </w:r>
          </w:p>
        </w:tc>
      </w:tr>
      <w:tr>
        <w:tc>
          <w:tcPr>
            <w:tcW w:type="dxa" w:w="2160"/>
          </w:tcPr>
          <w:p>
            <w:r/>
            <w:r>
              <w:rPr>
                <w:rFonts w:ascii="Calibri" w:hAnsi="Calibri"/>
                <w:color w:val="333333"/>
                <w:sz w:val="20"/>
              </w:rPr>
              <w:t>Unauthorized External Actor</w:t>
            </w:r>
          </w:p>
        </w:tc>
        <w:tc>
          <w:tcPr>
            <w:tcW w:type="dxa" w:w="3168"/>
          </w:tcPr>
          <w:p>
            <w:r/>
            <w:r>
              <w:rPr>
                <w:rFonts w:ascii="Calibri" w:hAnsi="Calibri"/>
                <w:color w:val="333333"/>
                <w:sz w:val="20"/>
              </w:rPr>
              <w:t>Access exercise data (vulnerability scenarios, critical infrastructure details) for intelligence or disruption</w:t>
            </w:r>
          </w:p>
        </w:tc>
        <w:tc>
          <w:tcPr>
            <w:tcW w:type="dxa" w:w="2880"/>
          </w:tcPr>
          <w:p>
            <w:r/>
            <w:r>
              <w:rPr>
                <w:rFonts w:ascii="Calibri" w:hAnsi="Calibri"/>
                <w:color w:val="333333"/>
                <w:sz w:val="20"/>
              </w:rPr>
              <w:t>Automated scanning, credential stuffing, known CVE exploitation</w:t>
            </w:r>
          </w:p>
        </w:tc>
        <w:tc>
          <w:tcPr>
            <w:tcW w:type="dxa" w:w="1584"/>
          </w:tcPr>
          <w:p>
            <w:r/>
            <w:r>
              <w:rPr>
                <w:rFonts w:ascii="Calibri" w:hAnsi="Calibri"/>
                <w:color w:val="333333"/>
                <w:sz w:val="20"/>
              </w:rPr>
              <w:t>Medium</w:t>
            </w:r>
          </w:p>
        </w:tc>
      </w:tr>
      <w:tr>
        <w:tc>
          <w:tcPr>
            <w:tcW w:type="dxa" w:w="2160"/>
            <w:shd w:fill="F5F5F5"/>
          </w:tcPr>
          <w:p>
            <w:r/>
            <w:r>
              <w:rPr>
                <w:rFonts w:ascii="Calibri" w:hAnsi="Calibri"/>
                <w:color w:val="333333"/>
                <w:sz w:val="20"/>
              </w:rPr>
              <w:t>Authenticated Insider (Cross-Tenant)</w:t>
            </w:r>
          </w:p>
        </w:tc>
        <w:tc>
          <w:tcPr>
            <w:tcW w:type="dxa" w:w="3168"/>
            <w:shd w:fill="F5F5F5"/>
          </w:tcPr>
          <w:p>
            <w:r/>
            <w:r>
              <w:rPr>
                <w:rFonts w:ascii="Calibri" w:hAnsi="Calibri"/>
                <w:color w:val="333333"/>
                <w:sz w:val="20"/>
              </w:rPr>
              <w:t>Access another organization's exercise data through privilege escalation or tenant isolation bypass</w:t>
            </w:r>
          </w:p>
        </w:tc>
        <w:tc>
          <w:tcPr>
            <w:tcW w:type="dxa" w:w="2880"/>
            <w:shd w:fill="F5F5F5"/>
          </w:tcPr>
          <w:p>
            <w:r/>
            <w:r>
              <w:rPr>
                <w:rFonts w:ascii="Calibri" w:hAnsi="Calibri"/>
                <w:color w:val="333333"/>
                <w:sz w:val="20"/>
              </w:rPr>
              <w:t>Valid credentials, API knowledge, patience to probe authorization boundaries</w:t>
            </w:r>
          </w:p>
        </w:tc>
        <w:tc>
          <w:tcPr>
            <w:tcW w:type="dxa" w:w="1584"/>
            <w:shd w:fill="F5F5F5"/>
          </w:tcPr>
          <w:p>
            <w:r/>
            <w:r>
              <w:rPr>
                <w:rFonts w:ascii="Calibri" w:hAnsi="Calibri"/>
                <w:color w:val="333333"/>
                <w:sz w:val="20"/>
              </w:rPr>
              <w:t>Medium</w:t>
            </w:r>
          </w:p>
        </w:tc>
      </w:tr>
      <w:tr>
        <w:tc>
          <w:tcPr>
            <w:tcW w:type="dxa" w:w="2160"/>
          </w:tcPr>
          <w:p>
            <w:r/>
            <w:r>
              <w:rPr>
                <w:rFonts w:ascii="Calibri" w:hAnsi="Calibri"/>
                <w:color w:val="333333"/>
                <w:sz w:val="20"/>
              </w:rPr>
              <w:t>Malicious Exercise Participant</w:t>
            </w:r>
          </w:p>
        </w:tc>
        <w:tc>
          <w:tcPr>
            <w:tcW w:type="dxa" w:w="3168"/>
          </w:tcPr>
          <w:p>
            <w:r/>
            <w:r>
              <w:rPr>
                <w:rFonts w:ascii="Calibri" w:hAnsi="Calibri"/>
                <w:color w:val="333333"/>
                <w:sz w:val="20"/>
              </w:rPr>
              <w:t>Modify inject data, disrupt exercise conduct, or exfiltrate MSEL content</w:t>
            </w:r>
          </w:p>
        </w:tc>
        <w:tc>
          <w:tcPr>
            <w:tcW w:type="dxa" w:w="2880"/>
          </w:tcPr>
          <w:p>
            <w:r/>
            <w:r>
              <w:rPr>
                <w:rFonts w:ascii="Calibri" w:hAnsi="Calibri"/>
                <w:color w:val="333333"/>
                <w:sz w:val="20"/>
              </w:rPr>
              <w:t>Authenticated session with Observer/Evaluator role, browser developer tools</w:t>
            </w:r>
          </w:p>
        </w:tc>
        <w:tc>
          <w:tcPr>
            <w:tcW w:type="dxa" w:w="1584"/>
          </w:tcPr>
          <w:p>
            <w:r/>
            <w:r>
              <w:rPr>
                <w:rFonts w:ascii="Calibri" w:hAnsi="Calibri"/>
                <w:color w:val="333333"/>
                <w:sz w:val="20"/>
              </w:rPr>
              <w:t>Low-Medium</w:t>
            </w:r>
          </w:p>
        </w:tc>
      </w:tr>
      <w:tr>
        <w:tc>
          <w:tcPr>
            <w:tcW w:type="dxa" w:w="2160"/>
            <w:shd w:fill="F5F5F5"/>
          </w:tcPr>
          <w:p>
            <w:r/>
            <w:r>
              <w:rPr>
                <w:rFonts w:ascii="Calibri" w:hAnsi="Calibri"/>
                <w:color w:val="333333"/>
                <w:sz w:val="20"/>
              </w:rPr>
              <w:t>Compromised CI/CD Pipeline</w:t>
            </w:r>
          </w:p>
        </w:tc>
        <w:tc>
          <w:tcPr>
            <w:tcW w:type="dxa" w:w="3168"/>
            <w:shd w:fill="F5F5F5"/>
          </w:tcPr>
          <w:p>
            <w:r/>
            <w:r>
              <w:rPr>
                <w:rFonts w:ascii="Calibri" w:hAnsi="Calibri"/>
                <w:color w:val="333333"/>
                <w:sz w:val="20"/>
              </w:rPr>
              <w:t>Supply chain attack via dependency poisoning or workflow manipulation</w:t>
            </w:r>
          </w:p>
        </w:tc>
        <w:tc>
          <w:tcPr>
            <w:tcW w:type="dxa" w:w="2880"/>
            <w:shd w:fill="F5F5F5"/>
          </w:tcPr>
          <w:p>
            <w:r/>
            <w:r>
              <w:rPr>
                <w:rFonts w:ascii="Calibri" w:hAnsi="Calibri"/>
                <w:color w:val="333333"/>
                <w:sz w:val="20"/>
              </w:rPr>
              <w:t>Access to package registries or GitHub Actions marketplace</w:t>
            </w:r>
          </w:p>
        </w:tc>
        <w:tc>
          <w:tcPr>
            <w:tcW w:type="dxa" w:w="1584"/>
            <w:shd w:fill="F5F5F5"/>
          </w:tcPr>
          <w:p>
            <w:r/>
            <w:r>
              <w:rPr>
                <w:rFonts w:ascii="Calibri" w:hAnsi="Calibri"/>
                <w:color w:val="333333"/>
                <w:sz w:val="20"/>
              </w:rPr>
              <w:t>Low</w:t>
            </w:r>
          </w:p>
        </w:tc>
      </w:tr>
      <w:tr>
        <w:tc>
          <w:tcPr>
            <w:tcW w:type="dxa" w:w="2160"/>
          </w:tcPr>
          <w:p>
            <w:r/>
            <w:r>
              <w:rPr>
                <w:rFonts w:ascii="Calibri" w:hAnsi="Calibri"/>
                <w:color w:val="333333"/>
                <w:sz w:val="20"/>
              </w:rPr>
              <w:t>Opportunistic Attacker</w:t>
            </w:r>
          </w:p>
        </w:tc>
        <w:tc>
          <w:tcPr>
            <w:tcW w:type="dxa" w:w="3168"/>
          </w:tcPr>
          <w:p>
            <w:r/>
            <w:r>
              <w:rPr>
                <w:rFonts w:ascii="Calibri" w:hAnsi="Calibri"/>
                <w:color w:val="333333"/>
                <w:sz w:val="20"/>
              </w:rPr>
              <w:t>Ransomware, cryptomining, or generic exploitation of exposed services</w:t>
            </w:r>
          </w:p>
        </w:tc>
        <w:tc>
          <w:tcPr>
            <w:tcW w:type="dxa" w:w="2880"/>
          </w:tcPr>
          <w:p>
            <w:r/>
            <w:r>
              <w:rPr>
                <w:rFonts w:ascii="Calibri" w:hAnsi="Calibri"/>
                <w:color w:val="333333"/>
                <w:sz w:val="20"/>
              </w:rPr>
              <w:t>Automated scanning, commodity attack tools</w:t>
            </w:r>
          </w:p>
        </w:tc>
        <w:tc>
          <w:tcPr>
            <w:tcW w:type="dxa" w:w="1584"/>
          </w:tcPr>
          <w:p>
            <w:r/>
            <w:r>
              <w:rPr>
                <w:rFonts w:ascii="Calibri" w:hAnsi="Calibri"/>
                <w:color w:val="333333"/>
                <w:sz w:val="20"/>
              </w:rPr>
              <w:t>Medium</w:t>
            </w:r>
          </w:p>
        </w:tc>
      </w:tr>
    </w:tbl>
    <w:p/>
    <w:p>
      <w:pPr>
        <w:pStyle w:val="Heading3"/>
      </w:pPr>
      <w:r>
        <w:t>Impact Analysis</w:t>
      </w:r>
    </w:p>
    <w:p>
      <w:r>
        <w:rPr>
          <w:rFonts w:ascii="Calibri" w:hAnsi="Calibri"/>
          <w:color w:val="333333"/>
          <w:sz w:val="22"/>
        </w:rPr>
        <w:t>Compromise of Cadence could result in:</w:t>
      </w:r>
    </w:p>
    <w:p>
      <w:pPr>
        <w:pStyle w:val="ListBullet"/>
      </w:pPr>
      <w:r>
        <w:rPr>
          <w:rFonts w:ascii="Calibri" w:hAnsi="Calibri"/>
          <w:color w:val="333333"/>
          <w:sz w:val="22"/>
        </w:rPr>
        <w:t>Confidentiality: Exposure of HSEEP exercise scenarios, vulnerability assessments, critical infrastructure details, and organizational response capabilities. This data could inform real-world attack planning.</w:t>
      </w:r>
    </w:p>
    <w:p>
      <w:pPr>
        <w:pStyle w:val="ListBullet"/>
      </w:pPr>
      <w:r>
        <w:rPr>
          <w:rFonts w:ascii="Calibri" w:hAnsi="Calibri"/>
          <w:color w:val="333333"/>
          <w:sz w:val="22"/>
        </w:rPr>
        <w:t>Integrity: Modification of MSEL injects during live exercise conduct, potentially causing incorrect emergency response actions or undermining exercise validity.</w:t>
      </w:r>
    </w:p>
    <w:p>
      <w:pPr>
        <w:pStyle w:val="ListBullet"/>
      </w:pPr>
      <w:r>
        <w:rPr>
          <w:rFonts w:ascii="Calibri" w:hAnsi="Calibri"/>
          <w:color w:val="333333"/>
          <w:sz w:val="22"/>
        </w:rPr>
        <w:t>Availability: Disruption of exercise conduct operations during time-critical training events, which may have regulatory or compliance deadlines.</w:t>
      </w:r>
    </w:p>
    <w:p>
      <w:pPr>
        <w:pStyle w:val="ListBullet"/>
      </w:pPr>
      <w:r>
        <w:rPr>
          <w:rFonts w:ascii="Calibri" w:hAnsi="Calibri"/>
          <w:color w:val="333333"/>
          <w:sz w:val="22"/>
        </w:rPr>
        <w:t>Multi-tenant breach: Cross-organization data exposure affecting multiple emergency management agencies using the shared platform.</w:t>
      </w:r>
    </w:p>
    <w:p>
      <w:r>
        <w:rPr>
          <w:rFonts w:ascii="Calibri" w:hAnsi="Calibri"/>
          <w:color w:val="333333"/>
          <w:sz w:val="22"/>
        </w:rPr>
        <w:t>These impact scenarios inform the risk classifications in Section 6. Findings that could enable cross-tenant data access or exercise disruption are rated Medium or higher. Findings limited to defense-in-depth hardening are rated Low or Informational.</w:t>
      </w:r>
    </w:p>
    <w:p>
      <w:pPr>
        <w:pStyle w:val="Heading2"/>
      </w:pPr>
      <w:r>
        <w:t>2.7 Data Classification</w:t>
      </w:r>
    </w:p>
    <w:p>
      <w:r>
        <w:rPr>
          <w:rFonts w:ascii="Calibri" w:hAnsi="Calibri"/>
          <w:color w:val="333333"/>
          <w:sz w:val="22"/>
        </w:rPr>
        <w:t>Cadence processes the following categories of data. Risk ratings in this report are calibrated to the sensitivity of the most critical data category handled by the system.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E3A5F"/>
          </w:tcPr>
          <w:p>
            <w:pPr>
              <w:jc w:val="left"/>
            </w:pPr>
            <w:r/>
            <w:r>
              <w:rPr>
                <w:rFonts w:ascii="Calibri" w:hAnsi="Calibri"/>
                <w:b/>
                <w:color w:val="FFFFFF"/>
                <w:sz w:val="20"/>
              </w:rPr>
              <w:t>Data Category</w:t>
            </w:r>
          </w:p>
        </w:tc>
        <w:tc>
          <w:tcPr>
            <w:tcW w:type="dxa" w:w="1872"/>
            <w:shd w:fill="1E3A5F"/>
          </w:tcPr>
          <w:p>
            <w:pPr>
              <w:jc w:val="left"/>
            </w:pPr>
            <w:r/>
            <w:r>
              <w:rPr>
                <w:rFonts w:ascii="Calibri" w:hAnsi="Calibri"/>
                <w:b/>
                <w:color w:val="FFFFFF"/>
                <w:sz w:val="20"/>
              </w:rPr>
              <w:t>Classification</w:t>
            </w:r>
          </w:p>
        </w:tc>
        <w:tc>
          <w:tcPr>
            <w:tcW w:type="dxa" w:w="3168"/>
            <w:shd w:fill="1E3A5F"/>
          </w:tcPr>
          <w:p>
            <w:pPr>
              <w:jc w:val="left"/>
            </w:pPr>
            <w:r/>
            <w:r>
              <w:rPr>
                <w:rFonts w:ascii="Calibri" w:hAnsi="Calibri"/>
                <w:b/>
                <w:color w:val="FFFFFF"/>
                <w:sz w:val="20"/>
              </w:rPr>
              <w:t>Examples</w:t>
            </w:r>
          </w:p>
        </w:tc>
        <w:tc>
          <w:tcPr>
            <w:tcW w:type="dxa" w:w="2592"/>
            <w:shd w:fill="1E3A5F"/>
          </w:tcPr>
          <w:p>
            <w:pPr>
              <w:jc w:val="left"/>
            </w:pPr>
            <w:r/>
            <w:r>
              <w:rPr>
                <w:rFonts w:ascii="Calibri" w:hAnsi="Calibri"/>
                <w:b/>
                <w:color w:val="FFFFFF"/>
                <w:sz w:val="20"/>
              </w:rPr>
              <w:t>Protection Requirements</w:t>
            </w:r>
          </w:p>
        </w:tc>
      </w:tr>
      <w:tr>
        <w:tc>
          <w:tcPr>
            <w:tcW w:type="dxa" w:w="2160"/>
          </w:tcPr>
          <w:p>
            <w:r/>
            <w:r>
              <w:rPr>
                <w:rFonts w:ascii="Calibri" w:hAnsi="Calibri"/>
                <w:color w:val="333333"/>
                <w:sz w:val="20"/>
              </w:rPr>
              <w:t>Exercise Scenarios (MSEL)</w:t>
            </w:r>
          </w:p>
        </w:tc>
        <w:tc>
          <w:tcPr>
            <w:tcW w:type="dxa" w:w="1872"/>
          </w:tcPr>
          <w:p>
            <w:r/>
            <w:r>
              <w:rPr>
                <w:rFonts w:ascii="Calibri" w:hAnsi="Calibri"/>
                <w:color w:val="333333"/>
                <w:sz w:val="20"/>
              </w:rPr>
              <w:t>Sensitive / Official Use Only</w:t>
            </w:r>
          </w:p>
        </w:tc>
        <w:tc>
          <w:tcPr>
            <w:tcW w:type="dxa" w:w="3168"/>
          </w:tcPr>
          <w:p>
            <w:r/>
            <w:r>
              <w:rPr>
                <w:rFonts w:ascii="Calibri" w:hAnsi="Calibri"/>
                <w:color w:val="333333"/>
                <w:sz w:val="20"/>
              </w:rPr>
              <w:t>Inject descriptions, scenario narratives, expected responses, vulnerability details</w:t>
            </w:r>
          </w:p>
        </w:tc>
        <w:tc>
          <w:tcPr>
            <w:tcW w:type="dxa" w:w="2592"/>
          </w:tcPr>
          <w:p>
            <w:r/>
            <w:r>
              <w:rPr>
                <w:rFonts w:ascii="Calibri" w:hAnsi="Calibri"/>
                <w:color w:val="333333"/>
                <w:sz w:val="20"/>
              </w:rPr>
              <w:t>Encryption at rest and in transit, organization-scoped access control, audit logging</w:t>
            </w:r>
          </w:p>
        </w:tc>
      </w:tr>
      <w:tr>
        <w:tc>
          <w:tcPr>
            <w:tcW w:type="dxa" w:w="2160"/>
            <w:shd w:fill="F5F5F5"/>
          </w:tcPr>
          <w:p>
            <w:r/>
            <w:r>
              <w:rPr>
                <w:rFonts w:ascii="Calibri" w:hAnsi="Calibri"/>
                <w:color w:val="333333"/>
                <w:sz w:val="20"/>
              </w:rPr>
              <w:t>Organizational Structure</w:t>
            </w:r>
          </w:p>
        </w:tc>
        <w:tc>
          <w:tcPr>
            <w:tcW w:type="dxa" w:w="1872"/>
            <w:shd w:fill="F5F5F5"/>
          </w:tcPr>
          <w:p>
            <w:r/>
            <w:r>
              <w:rPr>
                <w:rFonts w:ascii="Calibri" w:hAnsi="Calibri"/>
                <w:color w:val="333333"/>
                <w:sz w:val="20"/>
              </w:rPr>
              <w:t>Sensitive</w:t>
            </w:r>
          </w:p>
        </w:tc>
        <w:tc>
          <w:tcPr>
            <w:tcW w:type="dxa" w:w="3168"/>
            <w:shd w:fill="F5F5F5"/>
          </w:tcPr>
          <w:p>
            <w:r/>
            <w:r>
              <w:rPr>
                <w:rFonts w:ascii="Calibri" w:hAnsi="Calibri"/>
                <w:color w:val="333333"/>
                <w:sz w:val="20"/>
              </w:rPr>
              <w:t>Agency names, team structures, capability assessments, resource inventories</w:t>
            </w:r>
          </w:p>
        </w:tc>
        <w:tc>
          <w:tcPr>
            <w:tcW w:type="dxa" w:w="2592"/>
            <w:shd w:fill="F5F5F5"/>
          </w:tcPr>
          <w:p>
            <w:r/>
            <w:r>
              <w:rPr>
                <w:rFonts w:ascii="Calibri" w:hAnsi="Calibri"/>
                <w:color w:val="333333"/>
                <w:sz w:val="20"/>
              </w:rPr>
              <w:t>Tenant isolation, role-based access</w:t>
            </w:r>
          </w:p>
        </w:tc>
      </w:tr>
      <w:tr>
        <w:tc>
          <w:tcPr>
            <w:tcW w:type="dxa" w:w="2160"/>
          </w:tcPr>
          <w:p>
            <w:r/>
            <w:r>
              <w:rPr>
                <w:rFonts w:ascii="Calibri" w:hAnsi="Calibri"/>
                <w:color w:val="333333"/>
                <w:sz w:val="20"/>
              </w:rPr>
              <w:t>User Credentials</w:t>
            </w:r>
          </w:p>
        </w:tc>
        <w:tc>
          <w:tcPr>
            <w:tcW w:type="dxa" w:w="1872"/>
          </w:tcPr>
          <w:p>
            <w:r/>
            <w:r>
              <w:rPr>
                <w:rFonts w:ascii="Calibri" w:hAnsi="Calibri"/>
                <w:color w:val="333333"/>
                <w:sz w:val="20"/>
              </w:rPr>
              <w:t>Confidential</w:t>
            </w:r>
          </w:p>
        </w:tc>
        <w:tc>
          <w:tcPr>
            <w:tcW w:type="dxa" w:w="3168"/>
          </w:tcPr>
          <w:p>
            <w:r/>
            <w:r>
              <w:rPr>
                <w:rFonts w:ascii="Calibri" w:hAnsi="Calibri"/>
                <w:color w:val="333333"/>
                <w:sz w:val="20"/>
              </w:rPr>
              <w:t>Email addresses, password hashes, JWT signing keys</w:t>
            </w:r>
          </w:p>
        </w:tc>
        <w:tc>
          <w:tcPr>
            <w:tcW w:type="dxa" w:w="2592"/>
          </w:tcPr>
          <w:p>
            <w:r/>
            <w:r>
              <w:rPr>
                <w:rFonts w:ascii="Calibri" w:hAnsi="Calibri"/>
                <w:color w:val="333333"/>
                <w:sz w:val="20"/>
              </w:rPr>
              <w:t>Hashing (bcrypt), encrypted storage, Key Vault (planned)</w:t>
            </w:r>
          </w:p>
        </w:tc>
      </w:tr>
      <w:tr>
        <w:tc>
          <w:tcPr>
            <w:tcW w:type="dxa" w:w="2160"/>
            <w:shd w:fill="F5F5F5"/>
          </w:tcPr>
          <w:p>
            <w:r/>
            <w:r>
              <w:rPr>
                <w:rFonts w:ascii="Calibri" w:hAnsi="Calibri"/>
                <w:color w:val="333333"/>
                <w:sz w:val="20"/>
              </w:rPr>
              <w:t>Exercise Observations</w:t>
            </w:r>
          </w:p>
        </w:tc>
        <w:tc>
          <w:tcPr>
            <w:tcW w:type="dxa" w:w="1872"/>
            <w:shd w:fill="F5F5F5"/>
          </w:tcPr>
          <w:p>
            <w:r/>
            <w:r>
              <w:rPr>
                <w:rFonts w:ascii="Calibri" w:hAnsi="Calibri"/>
                <w:color w:val="333333"/>
                <w:sz w:val="20"/>
              </w:rPr>
              <w:t>Sensitive / Official Use Only</w:t>
            </w:r>
          </w:p>
        </w:tc>
        <w:tc>
          <w:tcPr>
            <w:tcW w:type="dxa" w:w="3168"/>
            <w:shd w:fill="F5F5F5"/>
          </w:tcPr>
          <w:p>
            <w:r/>
            <w:r>
              <w:rPr>
                <w:rFonts w:ascii="Calibri" w:hAnsi="Calibri"/>
                <w:color w:val="333333"/>
                <w:sz w:val="20"/>
              </w:rPr>
              <w:t>Performance assessments, improvement plans, identified weaknesses</w:t>
            </w:r>
          </w:p>
        </w:tc>
        <w:tc>
          <w:tcPr>
            <w:tcW w:type="dxa" w:w="2592"/>
            <w:shd w:fill="F5F5F5"/>
          </w:tcPr>
          <w:p>
            <w:r/>
            <w:r>
              <w:rPr>
                <w:rFonts w:ascii="Calibri" w:hAnsi="Calibri"/>
                <w:color w:val="333333"/>
                <w:sz w:val="20"/>
              </w:rPr>
              <w:t>Organization-scoped access, soft delete for retention</w:t>
            </w:r>
          </w:p>
        </w:tc>
      </w:tr>
      <w:tr>
        <w:tc>
          <w:tcPr>
            <w:tcW w:type="dxa" w:w="2160"/>
          </w:tcPr>
          <w:p>
            <w:r/>
            <w:r>
              <w:rPr>
                <w:rFonts w:ascii="Calibri" w:hAnsi="Calibri"/>
                <w:color w:val="333333"/>
                <w:sz w:val="20"/>
              </w:rPr>
              <w:t>System Configuration</w:t>
            </w:r>
          </w:p>
        </w:tc>
        <w:tc>
          <w:tcPr>
            <w:tcW w:type="dxa" w:w="1872"/>
          </w:tcPr>
          <w:p>
            <w:r/>
            <w:r>
              <w:rPr>
                <w:rFonts w:ascii="Calibri" w:hAnsi="Calibri"/>
                <w:color w:val="333333"/>
                <w:sz w:val="20"/>
              </w:rPr>
              <w:t>Internal</w:t>
            </w:r>
          </w:p>
        </w:tc>
        <w:tc>
          <w:tcPr>
            <w:tcW w:type="dxa" w:w="3168"/>
          </w:tcPr>
          <w:p>
            <w:r/>
            <w:r>
              <w:rPr>
                <w:rFonts w:ascii="Calibri" w:hAnsi="Calibri"/>
                <w:color w:val="333333"/>
                <w:sz w:val="20"/>
              </w:rPr>
              <w:t>Connection strings, API keys, deployment parameters</w:t>
            </w:r>
          </w:p>
        </w:tc>
        <w:tc>
          <w:tcPr>
            <w:tcW w:type="dxa" w:w="2592"/>
          </w:tcPr>
          <w:p>
            <w:r/>
            <w:r>
              <w:rPr>
                <w:rFonts w:ascii="Calibri" w:hAnsi="Calibri"/>
                <w:color w:val="333333"/>
                <w:sz w:val="20"/>
              </w:rPr>
              <w:t>App Service settings (current), Key Vault (planned)</w:t>
            </w:r>
          </w:p>
        </w:tc>
      </w:tr>
      <w:tr>
        <w:tc>
          <w:tcPr>
            <w:tcW w:type="dxa" w:w="2160"/>
            <w:shd w:fill="F5F5F5"/>
          </w:tcPr>
          <w:p>
            <w:r/>
            <w:r>
              <w:rPr>
                <w:rFonts w:ascii="Calibri" w:hAnsi="Calibri"/>
                <w:color w:val="333333"/>
                <w:sz w:val="20"/>
              </w:rPr>
              <w:t>Audit &amp; Telemetry</w:t>
            </w:r>
          </w:p>
        </w:tc>
        <w:tc>
          <w:tcPr>
            <w:tcW w:type="dxa" w:w="1872"/>
            <w:shd w:fill="F5F5F5"/>
          </w:tcPr>
          <w:p>
            <w:r/>
            <w:r>
              <w:rPr>
                <w:rFonts w:ascii="Calibri" w:hAnsi="Calibri"/>
                <w:color w:val="333333"/>
                <w:sz w:val="20"/>
              </w:rPr>
              <w:t>Internal</w:t>
            </w:r>
          </w:p>
        </w:tc>
        <w:tc>
          <w:tcPr>
            <w:tcW w:type="dxa" w:w="3168"/>
            <w:shd w:fill="F5F5F5"/>
          </w:tcPr>
          <w:p>
            <w:r/>
            <w:r>
              <w:rPr>
                <w:rFonts w:ascii="Calibri" w:hAnsi="Calibri"/>
                <w:color w:val="333333"/>
                <w:sz w:val="20"/>
              </w:rPr>
              <w:t>Access logs, scan results, error traces</w:t>
            </w:r>
          </w:p>
        </w:tc>
        <w:tc>
          <w:tcPr>
            <w:tcW w:type="dxa" w:w="2592"/>
            <w:shd w:fill="F5F5F5"/>
          </w:tcPr>
          <w:p>
            <w:r/>
            <w:r>
              <w:rPr>
                <w:rFonts w:ascii="Calibri" w:hAnsi="Calibri"/>
                <w:color w:val="333333"/>
                <w:sz w:val="20"/>
              </w:rPr>
              <w:t>Azure platform logging, 90-day retention</w:t>
            </w:r>
          </w:p>
        </w:tc>
      </w:tr>
    </w:tbl>
    <w:p/>
    <w:p>
      <w:r>
        <w:rPr>
          <w:rFonts w:ascii="Calibri" w:hAnsi="Calibri"/>
          <w:color w:val="333333"/>
          <w:sz w:val="22"/>
        </w:rPr>
        <w:t>Note: HSEEP exercises may involve scenarios based on real-world threat assessments and critical infrastructure vulnerabilities. While exercise data is typically marked For Official Use Only (FOUO) or equivalent, Cadence does not currently enforce formal data classification labels within the application. Organizations handling classified or law-enforcement-sensitive exercise content should evaluate whether additional controls beyond those described in this report are required.</w:t>
      </w:r>
    </w:p>
    <w:p>
      <w:r>
        <w:br w:type="page"/>
      </w:r>
    </w:p>
    <w:p>
      <w:pPr>
        <w:pStyle w:val="Heading1"/>
      </w:pPr>
      <w:r>
        <w:t>3. Security Architecture Overview</w:t>
      </w:r>
    </w:p>
    <w:p>
      <w:r>
        <w:rPr>
          <w:rFonts w:ascii="Calibri" w:hAnsi="Calibri"/>
          <w:color w:val="333333"/>
          <w:sz w:val="22"/>
        </w:rPr>
        <w:t>Cadence implements a layered security architecture designed for multi-tenant emergency management operations. The following sections describe the key security controls in place.</w:t>
      </w:r>
    </w:p>
    <w:p>
      <w:pPr>
        <w:pStyle w:val="Heading2"/>
      </w:pPr>
      <w:r>
        <w:t>3.1 Authentication</w:t>
      </w:r>
    </w:p>
    <w:p>
      <w:r>
        <w:rPr>
          <w:rFonts w:ascii="Calibri" w:hAnsi="Calibri"/>
          <w:color w:val="333333"/>
          <w:sz w:val="22"/>
        </w:rPr>
        <w:t>Cadence uses JWT (JSON Web Token) bearer authentication. Tokens are issued upon successful authentication and include claims for user identity, system role, organization context, and organization-level role. Tokens are validated on every API request. The authentication system is designed for integration with Microsoft Entra ID (formerly Azure AD) for enterprise single sign-on (SSO) scenarios.</w:t>
      </w:r>
    </w:p>
    <w:p>
      <w:pPr>
        <w:pStyle w:val="Heading2"/>
      </w:pPr>
      <w:r>
        <w:t>3.2 Authorization — Three-Tier Role Hierarchy</w:t>
      </w:r>
    </w:p>
    <w:p>
      <w:r>
        <w:rPr>
          <w:rFonts w:ascii="Calibri" w:hAnsi="Calibri"/>
          <w:color w:val="333333"/>
          <w:sz w:val="22"/>
        </w:rPr>
        <w:t>Cadence enforces authorization through a three-tier role model that provides granular access control: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E3A5F"/>
          </w:tcPr>
          <w:p>
            <w:pPr>
              <w:jc w:val="left"/>
            </w:pPr>
            <w:r/>
            <w:r>
              <w:rPr>
                <w:rFonts w:ascii="Calibri" w:hAnsi="Calibri"/>
                <w:b/>
                <w:color w:val="FFFFFF"/>
                <w:sz w:val="20"/>
              </w:rPr>
              <w:t>Tier</w:t>
            </w:r>
          </w:p>
        </w:tc>
        <w:tc>
          <w:tcPr>
            <w:tcW w:type="dxa" w:w="2160"/>
            <w:shd w:fill="1E3A5F"/>
          </w:tcPr>
          <w:p>
            <w:pPr>
              <w:jc w:val="left"/>
            </w:pPr>
            <w:r/>
            <w:r>
              <w:rPr>
                <w:rFonts w:ascii="Calibri" w:hAnsi="Calibri"/>
                <w:b/>
                <w:color w:val="FFFFFF"/>
                <w:sz w:val="20"/>
              </w:rPr>
              <w:t>Role Type</w:t>
            </w:r>
          </w:p>
        </w:tc>
        <w:tc>
          <w:tcPr>
            <w:tcW w:type="dxa" w:w="2160"/>
            <w:shd w:fill="1E3A5F"/>
          </w:tcPr>
          <w:p>
            <w:pPr>
              <w:jc w:val="left"/>
            </w:pPr>
            <w:r/>
            <w:r>
              <w:rPr>
                <w:rFonts w:ascii="Calibri" w:hAnsi="Calibri"/>
                <w:b/>
                <w:color w:val="FFFFFF"/>
                <w:sz w:val="20"/>
              </w:rPr>
              <w:t>Scope</w:t>
            </w:r>
          </w:p>
        </w:tc>
        <w:tc>
          <w:tcPr>
            <w:tcW w:type="dxa" w:w="3744"/>
            <w:shd w:fill="1E3A5F"/>
          </w:tcPr>
          <w:p>
            <w:pPr>
              <w:jc w:val="left"/>
            </w:pPr>
            <w:r/>
            <w:r>
              <w:rPr>
                <w:rFonts w:ascii="Calibri" w:hAnsi="Calibri"/>
                <w:b/>
                <w:color w:val="FFFFFF"/>
                <w:sz w:val="20"/>
              </w:rPr>
              <w:t>Examples</w:t>
            </w:r>
          </w:p>
        </w:tc>
      </w:tr>
      <w:tr>
        <w:tc>
          <w:tcPr>
            <w:tcW w:type="dxa" w:w="1728"/>
          </w:tcPr>
          <w:p>
            <w:r/>
            <w:r>
              <w:rPr>
                <w:rFonts w:ascii="Calibri" w:hAnsi="Calibri"/>
                <w:color w:val="333333"/>
                <w:sz w:val="20"/>
              </w:rPr>
              <w:t>System</w:t>
            </w:r>
          </w:p>
        </w:tc>
        <w:tc>
          <w:tcPr>
            <w:tcW w:type="dxa" w:w="2160"/>
          </w:tcPr>
          <w:p>
            <w:r/>
            <w:r>
              <w:rPr>
                <w:rFonts w:ascii="Calibri" w:hAnsi="Calibri"/>
                <w:color w:val="333333"/>
                <w:sz w:val="20"/>
              </w:rPr>
              <w:t>SystemRole</w:t>
            </w:r>
          </w:p>
        </w:tc>
        <w:tc>
          <w:tcPr>
            <w:tcW w:type="dxa" w:w="2160"/>
          </w:tcPr>
          <w:p>
            <w:r/>
            <w:r>
              <w:rPr>
                <w:rFonts w:ascii="Calibri" w:hAnsi="Calibri"/>
                <w:color w:val="333333"/>
                <w:sz w:val="20"/>
              </w:rPr>
              <w:t>Platform-wide</w:t>
            </w:r>
          </w:p>
        </w:tc>
        <w:tc>
          <w:tcPr>
            <w:tcW w:type="dxa" w:w="3744"/>
          </w:tcPr>
          <w:p>
            <w:r/>
            <w:r>
              <w:rPr>
                <w:rFonts w:ascii="Calibri" w:hAnsi="Calibri"/>
                <w:color w:val="333333"/>
                <w:sz w:val="20"/>
              </w:rPr>
              <w:t>Admin, Manager, User</w:t>
            </w:r>
          </w:p>
        </w:tc>
      </w:tr>
      <w:tr>
        <w:tc>
          <w:tcPr>
            <w:tcW w:type="dxa" w:w="1728"/>
            <w:shd w:fill="F5F5F5"/>
          </w:tcPr>
          <w:p>
            <w:r/>
            <w:r>
              <w:rPr>
                <w:rFonts w:ascii="Calibri" w:hAnsi="Calibri"/>
                <w:color w:val="333333"/>
                <w:sz w:val="20"/>
              </w:rPr>
              <w:t>Organization</w:t>
            </w:r>
          </w:p>
        </w:tc>
        <w:tc>
          <w:tcPr>
            <w:tcW w:type="dxa" w:w="2160"/>
            <w:shd w:fill="F5F5F5"/>
          </w:tcPr>
          <w:p>
            <w:r/>
            <w:r>
              <w:rPr>
                <w:rFonts w:ascii="Calibri" w:hAnsi="Calibri"/>
                <w:color w:val="333333"/>
                <w:sz w:val="20"/>
              </w:rPr>
              <w:t>OrgRole</w:t>
            </w:r>
          </w:p>
        </w:tc>
        <w:tc>
          <w:tcPr>
            <w:tcW w:type="dxa" w:w="2160"/>
            <w:shd w:fill="F5F5F5"/>
          </w:tcPr>
          <w:p>
            <w:r/>
            <w:r>
              <w:rPr>
                <w:rFonts w:ascii="Calibri" w:hAnsi="Calibri"/>
                <w:color w:val="333333"/>
                <w:sz w:val="20"/>
              </w:rPr>
              <w:t>Per-organization</w:t>
            </w:r>
          </w:p>
        </w:tc>
        <w:tc>
          <w:tcPr>
            <w:tcW w:type="dxa" w:w="3744"/>
            <w:shd w:fill="F5F5F5"/>
          </w:tcPr>
          <w:p>
            <w:r/>
            <w:r>
              <w:rPr>
                <w:rFonts w:ascii="Calibri" w:hAnsi="Calibri"/>
                <w:color w:val="333333"/>
                <w:sz w:val="20"/>
              </w:rPr>
              <w:t>OrgAdmin, OrgManager, OrgUser</w:t>
            </w:r>
          </w:p>
        </w:tc>
      </w:tr>
      <w:tr>
        <w:tc>
          <w:tcPr>
            <w:tcW w:type="dxa" w:w="1728"/>
          </w:tcPr>
          <w:p>
            <w:r/>
            <w:r>
              <w:rPr>
                <w:rFonts w:ascii="Calibri" w:hAnsi="Calibri"/>
                <w:color w:val="333333"/>
                <w:sz w:val="20"/>
              </w:rPr>
              <w:t>Exercise</w:t>
            </w:r>
          </w:p>
        </w:tc>
        <w:tc>
          <w:tcPr>
            <w:tcW w:type="dxa" w:w="2160"/>
          </w:tcPr>
          <w:p>
            <w:r/>
            <w:r>
              <w:rPr>
                <w:rFonts w:ascii="Calibri" w:hAnsi="Calibri"/>
                <w:color w:val="333333"/>
                <w:sz w:val="20"/>
              </w:rPr>
              <w:t>ExerciseRole</w:t>
            </w:r>
          </w:p>
        </w:tc>
        <w:tc>
          <w:tcPr>
            <w:tcW w:type="dxa" w:w="2160"/>
          </w:tcPr>
          <w:p>
            <w:r/>
            <w:r>
              <w:rPr>
                <w:rFonts w:ascii="Calibri" w:hAnsi="Calibri"/>
                <w:color w:val="333333"/>
                <w:sz w:val="20"/>
              </w:rPr>
              <w:t>Per-exercise</w:t>
            </w:r>
          </w:p>
        </w:tc>
        <w:tc>
          <w:tcPr>
            <w:tcW w:type="dxa" w:w="3744"/>
          </w:tcPr>
          <w:p>
            <w:r/>
            <w:r>
              <w:rPr>
                <w:rFonts w:ascii="Calibri" w:hAnsi="Calibri"/>
                <w:color w:val="333333"/>
                <w:sz w:val="20"/>
              </w:rPr>
              <w:t>ExerciseDirector, Controller, Evaluator, Observer</w:t>
            </w:r>
          </w:p>
        </w:tc>
      </w:tr>
    </w:tbl>
    <w:p/>
    <w:p>
      <w:r>
        <w:rPr>
          <w:rFonts w:ascii="Calibri" w:hAnsi="Calibri"/>
          <w:color w:val="333333"/>
          <w:sz w:val="22"/>
        </w:rPr>
        <w:t>Exercise roles follow HSEEP (Homeland Security Exercise and Evaluation Program) standards. Each role carries specific permissions that control what actions a user can perform within an exercise context.</w:t>
      </w:r>
    </w:p>
    <w:p>
      <w:pPr>
        <w:pStyle w:val="Heading2"/>
      </w:pPr>
      <w:r>
        <w:t>3.3 Multi-Tenancy Data Isolation</w:t>
      </w:r>
    </w:p>
    <w:p>
      <w:r>
        <w:rPr>
          <w:rFonts w:ascii="Calibri" w:hAnsi="Calibri"/>
          <w:color w:val="333333"/>
          <w:sz w:val="22"/>
        </w:rPr>
        <w:t>Organization is the primary security and data isolation boundary. All domain entities (exercises, injects, observations) are scoped to an organization via an OrganizationId foreign key. Data isolation is enforced at multiple levels:</w:t>
      </w:r>
    </w:p>
    <w:p>
      <w:pPr>
        <w:pStyle w:val="ListBullet"/>
      </w:pPr>
      <w:r>
        <w:rPr>
          <w:rFonts w:ascii="Calibri" w:hAnsi="Calibri"/>
          <w:color w:val="333333"/>
          <w:sz w:val="22"/>
        </w:rPr>
        <w:t>Read-side: All database queries are filtered by the current user's organization context, extracted from the JWT token.</w:t>
      </w:r>
    </w:p>
    <w:p>
      <w:pPr>
        <w:pStyle w:val="ListBullet"/>
      </w:pPr>
      <w:r>
        <w:rPr>
          <w:rFonts w:ascii="Calibri" w:hAnsi="Calibri"/>
          <w:color w:val="333333"/>
          <w:sz w:val="22"/>
        </w:rPr>
        <w:t>Write-side: An OrganizationValidationInterceptor ensures that entities are always saved with the correct organization ID, preventing cross-tenant data leakage.</w:t>
      </w:r>
    </w:p>
    <w:p>
      <w:pPr>
        <w:pStyle w:val="ListBullet"/>
      </w:pPr>
      <w:r>
        <w:rPr>
          <w:rFonts w:ascii="Calibri" w:hAnsi="Calibri"/>
          <w:color w:val="333333"/>
          <w:sz w:val="22"/>
        </w:rPr>
        <w:t>API-level: Organization context is derived from JWT claims and injected into services via ICurrentOrganizationContext, eliminating the possibility of client-side organization spoofing.</w:t>
      </w:r>
    </w:p>
    <w:p>
      <w:pPr>
        <w:pStyle w:val="Heading2"/>
      </w:pPr>
      <w:r>
        <w:t>3.4 Token &amp; Session Management</w:t>
      </w:r>
    </w:p>
    <w:p>
      <w:r>
        <w:rPr>
          <w:rFonts w:ascii="Calibri" w:hAnsi="Calibri"/>
          <w:color w:val="333333"/>
          <w:sz w:val="22"/>
        </w:rPr>
        <w:t>Cadence uses stateless JWT bearer tokens for API authentication. Key characteristics:</w:t>
      </w:r>
    </w:p>
    <w:p>
      <w:pPr>
        <w:pStyle w:val="ListBullet"/>
      </w:pPr>
      <w:r>
        <w:rPr>
          <w:rFonts w:ascii="Calibri" w:hAnsi="Calibri"/>
          <w:color w:val="333333"/>
          <w:sz w:val="22"/>
        </w:rPr>
        <w:t>Token issuance: Tokens are issued by the Cadence API upon successful authentication with email/password credentials.</w:t>
      </w:r>
    </w:p>
    <w:p>
      <w:pPr>
        <w:pStyle w:val="ListBullet"/>
      </w:pPr>
      <w:r>
        <w:rPr>
          <w:rFonts w:ascii="Calibri" w:hAnsi="Calibri"/>
          <w:color w:val="333333"/>
          <w:sz w:val="22"/>
        </w:rPr>
        <w:t>Token contents: Claims include user identity (sub), email, system role, organization context (org_id), and organization role (org_role).</w:t>
      </w:r>
    </w:p>
    <w:p>
      <w:pPr>
        <w:pStyle w:val="ListBullet"/>
      </w:pPr>
      <w:r>
        <w:rPr>
          <w:rFonts w:ascii="Calibri" w:hAnsi="Calibri"/>
          <w:color w:val="333333"/>
          <w:sz w:val="22"/>
        </w:rPr>
        <w:t>Token validation: Every API request validates the JWT signature, expiration, and issuer claims.</w:t>
      </w:r>
    </w:p>
    <w:p>
      <w:pPr>
        <w:pStyle w:val="ListBullet"/>
      </w:pPr>
      <w:r>
        <w:rPr>
          <w:rFonts w:ascii="Calibri" w:hAnsi="Calibri"/>
          <w:color w:val="333333"/>
          <w:sz w:val="22"/>
        </w:rPr>
        <w:t>Token storage: Tokens are stored client-side (browser memory/localStorage). No server-side session state is maintained.</w:t>
      </w:r>
    </w:p>
    <w:p>
      <w:pPr>
        <w:pStyle w:val="ListBullet"/>
      </w:pPr>
      <w:r>
        <w:rPr>
          <w:rFonts w:ascii="Calibri" w:hAnsi="Calibri"/>
          <w:color w:val="333333"/>
          <w:sz w:val="22"/>
        </w:rPr>
        <w:t>Token revocation: Token expiry is the primary revocation mechanism. Refresh token rotation and server-side session invalidation are not currently implemented.</w:t>
      </w:r>
    </w:p>
    <w:p>
      <w:pPr>
        <w:pStyle w:val="ListBullet"/>
      </w:pPr>
      <w:r>
        <w:rPr>
          <w:rFonts w:ascii="Calibri" w:hAnsi="Calibri"/>
          <w:color w:val="333333"/>
          <w:sz w:val="22"/>
        </w:rPr>
        <w:t>MFA: Not enforced at the application level. Can be configured at the identity provider level when using Microsoft Entra ID integration.</w:t>
      </w:r>
    </w:p>
    <w:p>
      <w:pPr>
        <w:pStyle w:val="Heading2"/>
      </w:pPr>
      <w:r>
        <w:t>3.5 Data Protection</w:t>
      </w:r>
    </w:p>
    <w:p>
      <w:pPr>
        <w:pStyle w:val="ListBullet"/>
      </w:pPr>
      <w:r>
        <w:rPr>
          <w:rFonts w:ascii="Calibri" w:hAnsi="Calibri"/>
          <w:color w:val="333333"/>
          <w:sz w:val="22"/>
        </w:rPr>
        <w:t>Encryption at rest: Azure SQL Transparent Data Encryption (TDE) is enabled by default for all databases.</w:t>
      </w:r>
    </w:p>
    <w:p>
      <w:pPr>
        <w:pStyle w:val="ListBullet"/>
      </w:pPr>
      <w:r>
        <w:rPr>
          <w:rFonts w:ascii="Calibri" w:hAnsi="Calibri"/>
          <w:color w:val="333333"/>
          <w:sz w:val="22"/>
        </w:rPr>
        <w:t>Encryption in transit: All communication uses HTTPS/TLS. Azure App Service enforces TLS 1.2 minimum.</w:t>
      </w:r>
    </w:p>
    <w:p>
      <w:pPr>
        <w:pStyle w:val="ListBullet"/>
      </w:pPr>
      <w:r>
        <w:rPr>
          <w:rFonts w:ascii="Calibri" w:hAnsi="Calibri"/>
          <w:color w:val="333333"/>
          <w:sz w:val="22"/>
        </w:rPr>
        <w:t>Secrets management: Sensitive configuration values (JWT keys, connection strings) are stored as App Service application settings, not in source code. Semgrep secret detection rules verify no hardcoded secrets exist in the codebase. Azure Key Vault is not currently used; secrets are not versioned or rotation-audited. See Section 7.3 for remediation plan.</w:t>
      </w:r>
    </w:p>
    <w:p>
      <w:pPr>
        <w:pStyle w:val="Heading2"/>
      </w:pPr>
      <w:r>
        <w:t>3.6 API Security</w:t>
      </w:r>
    </w:p>
    <w:p>
      <w:pPr>
        <w:pStyle w:val="ListBullet"/>
      </w:pPr>
      <w:r>
        <w:rPr>
          <w:rFonts w:ascii="Calibri" w:hAnsi="Calibri"/>
          <w:color w:val="333333"/>
          <w:sz w:val="22"/>
        </w:rPr>
        <w:t>CORS: Configured to allow only the specific frontend domain, preventing unauthorized cross-origin requests.</w:t>
      </w:r>
    </w:p>
    <w:p>
      <w:pPr>
        <w:pStyle w:val="ListBullet"/>
      </w:pPr>
      <w:r>
        <w:rPr>
          <w:rFonts w:ascii="Calibri" w:hAnsi="Calibri"/>
          <w:color w:val="333333"/>
          <w:sz w:val="22"/>
        </w:rPr>
        <w:t>Input validation: Request models are validated using data annotations and FluentValidation. Entity Framework Core parameterizes all queries, preventing SQL injection by design.</w:t>
      </w:r>
    </w:p>
    <w:p>
      <w:pPr>
        <w:pStyle w:val="ListBullet"/>
      </w:pPr>
      <w:r>
        <w:rPr>
          <w:rFonts w:ascii="Calibri" w:hAnsi="Calibri"/>
          <w:color w:val="333333"/>
          <w:sz w:val="22"/>
        </w:rPr>
        <w:t>Rate limiting: Azure App Service provides built-in request throttling capabilities.</w:t>
      </w:r>
    </w:p>
    <w:p>
      <w:pPr>
        <w:pStyle w:val="ListBullet"/>
      </w:pPr>
      <w:r>
        <w:rPr>
          <w:rFonts w:ascii="Calibri" w:hAnsi="Calibri"/>
          <w:color w:val="333333"/>
          <w:sz w:val="22"/>
        </w:rPr>
        <w:t>CSRF protection: Not applicable—the API uses JWT bearer authentication (not cookies), so CSRF attacks are not a viable vector.</w:t>
      </w:r>
    </w:p>
    <w:p>
      <w:pPr>
        <w:pStyle w:val="Heading2"/>
      </w:pPr>
      <w:r>
        <w:t>3.7 Deployment Security</w:t>
      </w:r>
    </w:p>
    <w:p>
      <w:r>
        <w:rPr>
          <w:rFonts w:ascii="Calibri" w:hAnsi="Calibri"/>
          <w:color w:val="333333"/>
          <w:sz w:val="22"/>
        </w:rPr>
        <w:t>The application runs on Azure App Service (B1 tier), a fully managed platform that handles OS patching, runtime updates, and infrastructure security. The frontend is deployed as an Azure Static Web App with built-in CDN and DDoS protection. Infrastructure is defined as code (Bicep templates) and deployed through automated CI/CD pipelines, ensuring reproducible and auditable deployments.</w:t>
      </w:r>
    </w:p>
    <w:p>
      <w:r>
        <w:br w:type="page"/>
      </w:r>
    </w:p>
    <w:p>
      <w:pPr>
        <w:pStyle w:val="Heading1"/>
      </w:pPr>
      <w:r>
        <w:t>4. Findings Summary</w:t>
      </w:r>
    </w:p>
    <w:p>
      <w:pPr>
        <w:pStyle w:val="Heading2"/>
      </w:pPr>
      <w:r>
        <w:t>4.1 Overview Metrics</w:t>
      </w:r>
    </w:p>
    <w:p>
      <w:r>
        <w:rPr>
          <w:rFonts w:ascii="Calibri" w:hAnsi="Calibri"/>
          <w:color w:val="333333"/>
          <w:sz w:val="22"/>
        </w:rPr>
        <w:t>Findings are classified at two levels: the raw tool severity (what the scanning tool reported) and the assessed risk (contextual classification considering the application architecture, existing mitigations, and real-world exploitability). The assessed risk is the primary classification used throughout this report.</w:t>
      </w:r>
    </w:p>
    <w:p>
      <w:r>
        <w:rPr>
          <w:b/>
          <w:color w:val="1E3A5F"/>
          <w:sz w:val="24"/>
        </w:rPr>
        <w:t>Findings by Assessed Risk</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E3A5F"/>
          </w:tcPr>
          <w:p>
            <w:pPr>
              <w:jc w:val="left"/>
            </w:pPr>
            <w:r/>
            <w:r>
              <w:rPr>
                <w:rFonts w:ascii="Calibri" w:hAnsi="Calibri"/>
                <w:b/>
                <w:color w:val="FFFFFF"/>
                <w:sz w:val="20"/>
              </w:rPr>
              <w:t>Assessed Risk</w:t>
            </w:r>
          </w:p>
        </w:tc>
        <w:tc>
          <w:tcPr>
            <w:tcW w:type="dxa" w:w="2880"/>
            <w:shd w:fill="1E3A5F"/>
          </w:tcPr>
          <w:p>
            <w:pPr>
              <w:jc w:val="left"/>
            </w:pPr>
            <w:r/>
            <w:r>
              <w:rPr>
                <w:rFonts w:ascii="Calibri" w:hAnsi="Calibri"/>
                <w:b/>
                <w:color w:val="FFFFFF"/>
                <w:sz w:val="20"/>
              </w:rPr>
              <w:t>Unique Findings</w:t>
            </w:r>
          </w:p>
        </w:tc>
        <w:tc>
          <w:tcPr>
            <w:tcW w:type="dxa" w:w="2880"/>
            <w:shd w:fill="1E3A5F"/>
          </w:tcPr>
          <w:p>
            <w:pPr>
              <w:jc w:val="left"/>
            </w:pPr>
            <w:r/>
            <w:r>
              <w:rPr>
                <w:rFonts w:ascii="Calibri" w:hAnsi="Calibri"/>
                <w:b/>
                <w:color w:val="FFFFFF"/>
                <w:sz w:val="20"/>
              </w:rPr>
              <w:t>Total Instances</w:t>
            </w:r>
          </w:p>
        </w:tc>
      </w:tr>
      <w:tr>
        <w:tc>
          <w:tcPr>
            <w:tcW w:type="dxa" w:w="2880"/>
          </w:tcPr>
          <w:p>
            <w:r/>
            <w:r>
              <w:rPr>
                <w:rFonts w:ascii="Calibri" w:hAnsi="Calibri"/>
                <w:color w:val="333333"/>
                <w:sz w:val="20"/>
              </w:rPr>
              <w:t>Critical</w:t>
            </w:r>
          </w:p>
        </w:tc>
        <w:tc>
          <w:tcPr>
            <w:tcW w:type="dxa" w:w="2880"/>
          </w:tcPr>
          <w:p>
            <w:r/>
            <w:r>
              <w:rPr>
                <w:rFonts w:ascii="Calibri" w:hAnsi="Calibri"/>
                <w:color w:val="333333"/>
                <w:sz w:val="20"/>
              </w:rPr>
              <w:t>0</w:t>
            </w:r>
          </w:p>
        </w:tc>
        <w:tc>
          <w:tcPr>
            <w:tcW w:type="dxa" w:w="2880"/>
          </w:tcPr>
          <w:p>
            <w:r/>
            <w:r>
              <w:rPr>
                <w:rFonts w:ascii="Calibri" w:hAnsi="Calibri"/>
                <w:color w:val="333333"/>
                <w:sz w:val="20"/>
              </w:rPr>
              <w:t>0</w:t>
            </w:r>
          </w:p>
        </w:tc>
      </w:tr>
      <w:tr>
        <w:tc>
          <w:tcPr>
            <w:tcW w:type="dxa" w:w="2880"/>
            <w:shd w:fill="F5F5F5"/>
          </w:tcPr>
          <w:p>
            <w:r/>
            <w:r>
              <w:rPr>
                <w:rFonts w:ascii="Calibri" w:hAnsi="Calibri"/>
                <w:color w:val="333333"/>
                <w:sz w:val="20"/>
              </w:rPr>
              <w:t>High</w:t>
            </w:r>
          </w:p>
        </w:tc>
        <w:tc>
          <w:tcPr>
            <w:tcW w:type="dxa" w:w="2880"/>
            <w:shd w:fill="F5F5F5"/>
          </w:tcPr>
          <w:p>
            <w:r/>
            <w:r>
              <w:rPr>
                <w:rFonts w:ascii="Calibri" w:hAnsi="Calibri"/>
                <w:color w:val="333333"/>
                <w:sz w:val="20"/>
              </w:rPr>
              <w:t>0</w:t>
            </w:r>
          </w:p>
        </w:tc>
        <w:tc>
          <w:tcPr>
            <w:tcW w:type="dxa" w:w="2880"/>
            <w:shd w:fill="F5F5F5"/>
          </w:tcPr>
          <w:p>
            <w:r/>
            <w:r>
              <w:rPr>
                <w:rFonts w:ascii="Calibri" w:hAnsi="Calibri"/>
                <w:color w:val="333333"/>
                <w:sz w:val="20"/>
              </w:rPr>
              <w:t>0</w:t>
            </w:r>
          </w:p>
        </w:tc>
      </w:tr>
      <w:tr>
        <w:tc>
          <w:tcPr>
            <w:tcW w:type="dxa" w:w="2880"/>
          </w:tcPr>
          <w:p>
            <w:r/>
            <w:r>
              <w:rPr>
                <w:rFonts w:ascii="Calibri" w:hAnsi="Calibri"/>
                <w:color w:val="333333"/>
                <w:sz w:val="20"/>
              </w:rPr>
              <w:t>Medium</w:t>
            </w:r>
          </w:p>
        </w:tc>
        <w:tc>
          <w:tcPr>
            <w:tcW w:type="dxa" w:w="2880"/>
          </w:tcPr>
          <w:p>
            <w:r/>
            <w:r>
              <w:rPr>
                <w:rFonts w:ascii="Calibri" w:hAnsi="Calibri"/>
                <w:color w:val="333333"/>
                <w:sz w:val="20"/>
              </w:rPr>
              <w:t>3</w:t>
            </w:r>
          </w:p>
        </w:tc>
        <w:tc>
          <w:tcPr>
            <w:tcW w:type="dxa" w:w="2880"/>
          </w:tcPr>
          <w:p>
            <w:r/>
            <w:r>
              <w:rPr>
                <w:rFonts w:ascii="Calibri" w:hAnsi="Calibri"/>
                <w:color w:val="333333"/>
                <w:sz w:val="20"/>
              </w:rPr>
              <w:t>4</w:t>
            </w:r>
          </w:p>
        </w:tc>
      </w:tr>
      <w:tr>
        <w:tc>
          <w:tcPr>
            <w:tcW w:type="dxa" w:w="2880"/>
            <w:shd w:fill="F5F5F5"/>
          </w:tcPr>
          <w:p>
            <w:r/>
            <w:r>
              <w:rPr>
                <w:rFonts w:ascii="Calibri" w:hAnsi="Calibri"/>
                <w:color w:val="333333"/>
                <w:sz w:val="20"/>
              </w:rPr>
              <w:t>Low</w:t>
            </w:r>
          </w:p>
        </w:tc>
        <w:tc>
          <w:tcPr>
            <w:tcW w:type="dxa" w:w="2880"/>
            <w:shd w:fill="F5F5F5"/>
          </w:tcPr>
          <w:p>
            <w:r/>
            <w:r>
              <w:rPr>
                <w:rFonts w:ascii="Calibri" w:hAnsi="Calibri"/>
                <w:color w:val="333333"/>
                <w:sz w:val="20"/>
              </w:rPr>
              <w:t>10</w:t>
            </w:r>
          </w:p>
        </w:tc>
        <w:tc>
          <w:tcPr>
            <w:tcW w:type="dxa" w:w="2880"/>
            <w:shd w:fill="F5F5F5"/>
          </w:tcPr>
          <w:p>
            <w:r/>
            <w:r>
              <w:rPr>
                <w:rFonts w:ascii="Calibri" w:hAnsi="Calibri"/>
                <w:color w:val="333333"/>
                <w:sz w:val="20"/>
              </w:rPr>
              <w:t>14</w:t>
            </w:r>
          </w:p>
        </w:tc>
      </w:tr>
      <w:tr>
        <w:tc>
          <w:tcPr>
            <w:tcW w:type="dxa" w:w="2880"/>
          </w:tcPr>
          <w:p>
            <w:r/>
            <w:r>
              <w:rPr>
                <w:rFonts w:ascii="Calibri" w:hAnsi="Calibri"/>
                <w:color w:val="333333"/>
                <w:sz w:val="20"/>
              </w:rPr>
              <w:t>Informational</w:t>
            </w:r>
          </w:p>
        </w:tc>
        <w:tc>
          <w:tcPr>
            <w:tcW w:type="dxa" w:w="2880"/>
          </w:tcPr>
          <w:p>
            <w:r/>
            <w:r>
              <w:rPr>
                <w:rFonts w:ascii="Calibri" w:hAnsi="Calibri"/>
                <w:color w:val="333333"/>
                <w:sz w:val="20"/>
              </w:rPr>
              <w:t>7</w:t>
            </w:r>
          </w:p>
        </w:tc>
        <w:tc>
          <w:tcPr>
            <w:tcW w:type="dxa" w:w="2880"/>
          </w:tcPr>
          <w:p>
            <w:r/>
            <w:r>
              <w:rPr>
                <w:rFonts w:ascii="Calibri" w:hAnsi="Calibri"/>
                <w:color w:val="333333"/>
                <w:sz w:val="20"/>
              </w:rPr>
              <w:t>41</w:t>
            </w:r>
          </w:p>
        </w:tc>
      </w:tr>
      <w:tr>
        <w:tc>
          <w:tcPr>
            <w:tcW w:type="dxa" w:w="2880"/>
            <w:shd w:fill="F5F5F5"/>
          </w:tcPr>
          <w:p>
            <w:r/>
            <w:r>
              <w:rPr>
                <w:rFonts w:ascii="Calibri" w:hAnsi="Calibri"/>
                <w:color w:val="333333"/>
                <w:sz w:val="20"/>
              </w:rPr>
              <w:t>Total</w:t>
            </w:r>
          </w:p>
        </w:tc>
        <w:tc>
          <w:tcPr>
            <w:tcW w:type="dxa" w:w="2880"/>
            <w:shd w:fill="F5F5F5"/>
          </w:tcPr>
          <w:p>
            <w:r/>
            <w:r>
              <w:rPr>
                <w:rFonts w:ascii="Calibri" w:hAnsi="Calibri"/>
                <w:color w:val="333333"/>
                <w:sz w:val="20"/>
              </w:rPr>
              <w:t>29</w:t>
            </w:r>
          </w:p>
        </w:tc>
        <w:tc>
          <w:tcPr>
            <w:tcW w:type="dxa" w:w="2880"/>
            <w:shd w:fill="F5F5F5"/>
          </w:tcPr>
          <w:p>
            <w:r/>
            <w:r>
              <w:rPr>
                <w:rFonts w:ascii="Calibri" w:hAnsi="Calibri"/>
                <w:color w:val="333333"/>
                <w:sz w:val="20"/>
              </w:rPr>
              <w:t>75</w:t>
            </w:r>
          </w:p>
        </w:tc>
      </w:tr>
    </w:tbl>
    <w:p/>
    <w:p>
      <w:r>
        <w:rPr>
          <w:b/>
          <w:color w:val="1E3A5F"/>
          <w:sz w:val="24"/>
        </w:rPr>
        <w:t>Findings by Tool-Reported Severity (Raw)</w:t>
      </w:r>
    </w:p>
    <w:p>
      <w:r>
        <w:rPr>
          <w:rFonts w:ascii="Calibri" w:hAnsi="Calibri"/>
          <w:color w:val="333333"/>
          <w:sz w:val="22"/>
        </w:rPr>
        <w:t>The table below shows the raw severity levels reported by each tool. Note that Checkov reports all IaC misconfigurations as SARIF 'error' regardless of actual risk. These are re-assessed in the Assessed Risk classification above based on exploitability, blast radius, and existing controls.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E3A5F"/>
          </w:tcPr>
          <w:p>
            <w:pPr>
              <w:jc w:val="left"/>
            </w:pPr>
            <w:r/>
            <w:r>
              <w:rPr>
                <w:rFonts w:ascii="Calibri" w:hAnsi="Calibri"/>
                <w:b/>
                <w:color w:val="FFFFFF"/>
                <w:sz w:val="20"/>
              </w:rPr>
              <w:t>Tool Severity</w:t>
            </w:r>
          </w:p>
        </w:tc>
        <w:tc>
          <w:tcPr>
            <w:tcW w:type="dxa" w:w="1872"/>
            <w:shd w:fill="1E3A5F"/>
          </w:tcPr>
          <w:p>
            <w:pPr>
              <w:jc w:val="left"/>
            </w:pPr>
            <w:r/>
            <w:r>
              <w:rPr>
                <w:rFonts w:ascii="Calibri" w:hAnsi="Calibri"/>
                <w:b/>
                <w:color w:val="FFFFFF"/>
                <w:sz w:val="20"/>
              </w:rPr>
              <w:t>Total Instances</w:t>
            </w:r>
          </w:p>
        </w:tc>
        <w:tc>
          <w:tcPr>
            <w:tcW w:type="dxa" w:w="1872"/>
            <w:shd w:fill="1E3A5F"/>
          </w:tcPr>
          <w:p>
            <w:pPr>
              <w:jc w:val="left"/>
            </w:pPr>
            <w:r/>
            <w:r>
              <w:rPr>
                <w:rFonts w:ascii="Calibri" w:hAnsi="Calibri"/>
                <w:b/>
                <w:color w:val="FFFFFF"/>
                <w:sz w:val="20"/>
              </w:rPr>
              <w:t>Unique Findings</w:t>
            </w:r>
          </w:p>
        </w:tc>
        <w:tc>
          <w:tcPr>
            <w:tcW w:type="dxa" w:w="4176"/>
            <w:shd w:fill="1E3A5F"/>
          </w:tcPr>
          <w:p>
            <w:pPr>
              <w:jc w:val="left"/>
            </w:pPr>
            <w:r/>
            <w:r>
              <w:rPr>
                <w:rFonts w:ascii="Calibri" w:hAnsi="Calibri"/>
                <w:b/>
                <w:color w:val="FFFFFF"/>
                <w:sz w:val="20"/>
              </w:rPr>
              <w:t>Note</w:t>
            </w:r>
          </w:p>
        </w:tc>
      </w:tr>
      <w:tr>
        <w:tc>
          <w:tcPr>
            <w:tcW w:type="dxa" w:w="1872"/>
          </w:tcPr>
          <w:p>
            <w:r/>
            <w:r>
              <w:rPr>
                <w:rFonts w:ascii="Calibri" w:hAnsi="Calibri"/>
                <w:color w:val="333333"/>
                <w:sz w:val="20"/>
              </w:rPr>
              <w:t>Error</w:t>
            </w:r>
          </w:p>
        </w:tc>
        <w:tc>
          <w:tcPr>
            <w:tcW w:type="dxa" w:w="1872"/>
          </w:tcPr>
          <w:p>
            <w:r/>
            <w:r>
              <w:rPr>
                <w:rFonts w:ascii="Calibri" w:hAnsi="Calibri"/>
                <w:color w:val="333333"/>
                <w:sz w:val="20"/>
              </w:rPr>
              <w:t>35</w:t>
            </w:r>
          </w:p>
        </w:tc>
        <w:tc>
          <w:tcPr>
            <w:tcW w:type="dxa" w:w="1872"/>
          </w:tcPr>
          <w:p>
            <w:r/>
            <w:r>
              <w:rPr>
                <w:rFonts w:ascii="Calibri" w:hAnsi="Calibri"/>
                <w:color w:val="333333"/>
                <w:sz w:val="20"/>
              </w:rPr>
              <w:t>26</w:t>
            </w:r>
          </w:p>
        </w:tc>
        <w:tc>
          <w:tcPr>
            <w:tcW w:type="dxa" w:w="4176"/>
          </w:tcPr>
          <w:p>
            <w:r/>
            <w:r>
              <w:rPr>
                <w:rFonts w:ascii="Calibri" w:hAnsi="Calibri"/>
                <w:color w:val="333333"/>
                <w:sz w:val="20"/>
              </w:rPr>
              <w:t>Checkov reports all IaC findings as error</w:t>
            </w:r>
          </w:p>
        </w:tc>
      </w:tr>
      <w:tr>
        <w:tc>
          <w:tcPr>
            <w:tcW w:type="dxa" w:w="1872"/>
            <w:shd w:fill="F5F5F5"/>
          </w:tcPr>
          <w:p>
            <w:r/>
            <w:r>
              <w:rPr>
                <w:rFonts w:ascii="Calibri" w:hAnsi="Calibri"/>
                <w:color w:val="333333"/>
                <w:sz w:val="20"/>
              </w:rPr>
              <w:t>Warning</w:t>
            </w:r>
          </w:p>
        </w:tc>
        <w:tc>
          <w:tcPr>
            <w:tcW w:type="dxa" w:w="1872"/>
            <w:shd w:fill="F5F5F5"/>
          </w:tcPr>
          <w:p>
            <w:r/>
            <w:r>
              <w:rPr>
                <w:rFonts w:ascii="Calibri" w:hAnsi="Calibri"/>
                <w:color w:val="333333"/>
                <w:sz w:val="20"/>
              </w:rPr>
              <w:t>6</w:t>
            </w:r>
          </w:p>
        </w:tc>
        <w:tc>
          <w:tcPr>
            <w:tcW w:type="dxa" w:w="1872"/>
            <w:shd w:fill="F5F5F5"/>
          </w:tcPr>
          <w:p>
            <w:r/>
            <w:r>
              <w:rPr>
                <w:rFonts w:ascii="Calibri" w:hAnsi="Calibri"/>
                <w:color w:val="333333"/>
                <w:sz w:val="20"/>
              </w:rPr>
              <w:t>1</w:t>
            </w:r>
          </w:p>
        </w:tc>
        <w:tc>
          <w:tcPr>
            <w:tcW w:type="dxa" w:w="4176"/>
            <w:shd w:fill="F5F5F5"/>
          </w:tcPr>
          <w:p>
            <w:r/>
            <w:r>
              <w:rPr>
                <w:rFonts w:ascii="Calibri" w:hAnsi="Calibri"/>
                <w:color w:val="333333"/>
                <w:sz w:val="20"/>
              </w:rPr>
              <w:t>ZAP Low/Medium risk findings</w:t>
            </w:r>
          </w:p>
        </w:tc>
      </w:tr>
      <w:tr>
        <w:tc>
          <w:tcPr>
            <w:tcW w:type="dxa" w:w="1872"/>
          </w:tcPr>
          <w:p>
            <w:r/>
            <w:r>
              <w:rPr>
                <w:rFonts w:ascii="Calibri" w:hAnsi="Calibri"/>
                <w:color w:val="333333"/>
                <w:sz w:val="20"/>
              </w:rPr>
              <w:t>Note</w:t>
            </w:r>
          </w:p>
        </w:tc>
        <w:tc>
          <w:tcPr>
            <w:tcW w:type="dxa" w:w="1872"/>
          </w:tcPr>
          <w:p>
            <w:r/>
            <w:r>
              <w:rPr>
                <w:rFonts w:ascii="Calibri" w:hAnsi="Calibri"/>
                <w:color w:val="333333"/>
                <w:sz w:val="20"/>
              </w:rPr>
              <w:t>34</w:t>
            </w:r>
          </w:p>
        </w:tc>
        <w:tc>
          <w:tcPr>
            <w:tcW w:type="dxa" w:w="1872"/>
          </w:tcPr>
          <w:p>
            <w:r/>
            <w:r>
              <w:rPr>
                <w:rFonts w:ascii="Calibri" w:hAnsi="Calibri"/>
                <w:color w:val="333333"/>
                <w:sz w:val="20"/>
              </w:rPr>
              <w:t>2</w:t>
            </w:r>
          </w:p>
        </w:tc>
        <w:tc>
          <w:tcPr>
            <w:tcW w:type="dxa" w:w="4176"/>
          </w:tcPr>
          <w:p>
            <w:r/>
            <w:r>
              <w:rPr>
                <w:rFonts w:ascii="Calibri" w:hAnsi="Calibri"/>
                <w:color w:val="333333"/>
                <w:sz w:val="20"/>
              </w:rPr>
              <w:t>ZAP informational findings</w:t>
            </w:r>
          </w:p>
        </w:tc>
      </w:tr>
      <w:tr>
        <w:tc>
          <w:tcPr>
            <w:tcW w:type="dxa" w:w="1872"/>
            <w:shd w:fill="F5F5F5"/>
          </w:tcPr>
          <w:p>
            <w:r/>
            <w:r>
              <w:rPr>
                <w:rFonts w:ascii="Calibri" w:hAnsi="Calibri"/>
                <w:color w:val="333333"/>
                <w:sz w:val="20"/>
              </w:rPr>
              <w:t>Total</w:t>
            </w:r>
          </w:p>
        </w:tc>
        <w:tc>
          <w:tcPr>
            <w:tcW w:type="dxa" w:w="1872"/>
            <w:shd w:fill="F5F5F5"/>
          </w:tcPr>
          <w:p>
            <w:r/>
            <w:r>
              <w:rPr>
                <w:rFonts w:ascii="Calibri" w:hAnsi="Calibri"/>
                <w:color w:val="333333"/>
                <w:sz w:val="20"/>
              </w:rPr>
              <w:t>75</w:t>
            </w:r>
          </w:p>
        </w:tc>
        <w:tc>
          <w:tcPr>
            <w:tcW w:type="dxa" w:w="1872"/>
            <w:shd w:fill="F5F5F5"/>
          </w:tcPr>
          <w:p>
            <w:r/>
            <w:r>
              <w:rPr>
                <w:rFonts w:ascii="Calibri" w:hAnsi="Calibri"/>
                <w:color w:val="333333"/>
                <w:sz w:val="20"/>
              </w:rPr>
              <w:t>29</w:t>
            </w:r>
          </w:p>
        </w:tc>
        <w:tc>
          <w:tcPr>
            <w:tcW w:type="dxa" w:w="4176"/>
            <w:shd w:fill="F5F5F5"/>
          </w:tcPr>
          <w:p>
            <w:r/>
            <w:r>
              <w:rPr>
                <w:rFonts w:ascii="Calibri" w:hAnsi="Calibri"/>
                <w:color w:val="333333"/>
                <w:sz w:val="20"/>
              </w:rPr>
            </w:r>
          </w:p>
        </w:tc>
      </w:tr>
    </w:tbl>
    <w:p/>
    <w:p>
      <w:pPr>
        <w:pStyle w:val="Heading2"/>
      </w:pPr>
      <w:r>
        <w:t>4.2 Findings by Tool</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E3A5F"/>
          </w:tcPr>
          <w:p>
            <w:pPr>
              <w:jc w:val="left"/>
            </w:pPr>
            <w:r/>
            <w:r>
              <w:rPr>
                <w:rFonts w:ascii="Calibri" w:hAnsi="Calibri"/>
                <w:b/>
                <w:color w:val="FFFFFF"/>
                <w:sz w:val="20"/>
              </w:rPr>
              <w:t>Tool</w:t>
            </w:r>
          </w:p>
        </w:tc>
        <w:tc>
          <w:tcPr>
            <w:tcW w:type="dxa" w:w="2880"/>
            <w:shd w:fill="1E3A5F"/>
          </w:tcPr>
          <w:p>
            <w:pPr>
              <w:jc w:val="left"/>
            </w:pPr>
            <w:r/>
            <w:r>
              <w:rPr>
                <w:rFonts w:ascii="Calibri" w:hAnsi="Calibri"/>
                <w:b/>
                <w:color w:val="FFFFFF"/>
                <w:sz w:val="20"/>
              </w:rPr>
              <w:t>Instances</w:t>
            </w:r>
          </w:p>
        </w:tc>
        <w:tc>
          <w:tcPr>
            <w:tcW w:type="dxa" w:w="2880"/>
            <w:shd w:fill="1E3A5F"/>
          </w:tcPr>
          <w:p>
            <w:pPr>
              <w:jc w:val="left"/>
            </w:pPr>
            <w:r/>
            <w:r>
              <w:rPr>
                <w:rFonts w:ascii="Calibri" w:hAnsi="Calibri"/>
                <w:b/>
                <w:color w:val="FFFFFF"/>
                <w:sz w:val="20"/>
              </w:rPr>
              <w:t>Unique Rules</w:t>
            </w:r>
          </w:p>
        </w:tc>
      </w:tr>
      <w:tr>
        <w:tc>
          <w:tcPr>
            <w:tcW w:type="dxa" w:w="2880"/>
          </w:tcPr>
          <w:p>
            <w:r/>
            <w:r>
              <w:rPr>
                <w:rFonts w:ascii="Calibri" w:hAnsi="Calibri"/>
                <w:color w:val="333333"/>
                <w:sz w:val="20"/>
              </w:rPr>
              <w:t>Semgrep OSS</w:t>
            </w:r>
          </w:p>
        </w:tc>
        <w:tc>
          <w:tcPr>
            <w:tcW w:type="dxa" w:w="2880"/>
          </w:tcPr>
          <w:p>
            <w:r/>
            <w:r>
              <w:rPr>
                <w:rFonts w:ascii="Calibri" w:hAnsi="Calibri"/>
                <w:color w:val="333333"/>
                <w:sz w:val="20"/>
              </w:rPr>
              <w:t>0</w:t>
            </w:r>
          </w:p>
        </w:tc>
        <w:tc>
          <w:tcPr>
            <w:tcW w:type="dxa" w:w="2880"/>
          </w:tcPr>
          <w:p>
            <w:r/>
            <w:r>
              <w:rPr>
                <w:rFonts w:ascii="Calibri" w:hAnsi="Calibri"/>
                <w:color w:val="333333"/>
                <w:sz w:val="20"/>
              </w:rPr>
              <w:t>0</w:t>
            </w:r>
          </w:p>
        </w:tc>
      </w:tr>
      <w:tr>
        <w:tc>
          <w:tcPr>
            <w:tcW w:type="dxa" w:w="2880"/>
            <w:shd w:fill="F5F5F5"/>
          </w:tcPr>
          <w:p>
            <w:r/>
            <w:r>
              <w:rPr>
                <w:rFonts w:ascii="Calibri" w:hAnsi="Calibri"/>
                <w:color w:val="333333"/>
                <w:sz w:val="20"/>
              </w:rPr>
              <w:t>OWASP ZAP</w:t>
            </w:r>
          </w:p>
        </w:tc>
        <w:tc>
          <w:tcPr>
            <w:tcW w:type="dxa" w:w="2880"/>
            <w:shd w:fill="F5F5F5"/>
          </w:tcPr>
          <w:p>
            <w:r/>
            <w:r>
              <w:rPr>
                <w:rFonts w:ascii="Calibri" w:hAnsi="Calibri"/>
                <w:color w:val="333333"/>
                <w:sz w:val="20"/>
              </w:rPr>
              <w:t>40</w:t>
            </w:r>
          </w:p>
        </w:tc>
        <w:tc>
          <w:tcPr>
            <w:tcW w:type="dxa" w:w="2880"/>
            <w:shd w:fill="F5F5F5"/>
          </w:tcPr>
          <w:p>
            <w:r/>
            <w:r>
              <w:rPr>
                <w:rFonts w:ascii="Calibri" w:hAnsi="Calibri"/>
                <w:color w:val="333333"/>
                <w:sz w:val="20"/>
              </w:rPr>
              <w:t>3</w:t>
            </w:r>
          </w:p>
        </w:tc>
      </w:tr>
      <w:tr>
        <w:tc>
          <w:tcPr>
            <w:tcW w:type="dxa" w:w="2880"/>
          </w:tcPr>
          <w:p>
            <w:r/>
            <w:r>
              <w:rPr>
                <w:rFonts w:ascii="Calibri" w:hAnsi="Calibri"/>
                <w:color w:val="333333"/>
                <w:sz w:val="20"/>
              </w:rPr>
              <w:t>Checkov</w:t>
            </w:r>
          </w:p>
        </w:tc>
        <w:tc>
          <w:tcPr>
            <w:tcW w:type="dxa" w:w="2880"/>
          </w:tcPr>
          <w:p>
            <w:r/>
            <w:r>
              <w:rPr>
                <w:rFonts w:ascii="Calibri" w:hAnsi="Calibri"/>
                <w:color w:val="333333"/>
                <w:sz w:val="20"/>
              </w:rPr>
              <w:t>35</w:t>
            </w:r>
          </w:p>
        </w:tc>
        <w:tc>
          <w:tcPr>
            <w:tcW w:type="dxa" w:w="2880"/>
          </w:tcPr>
          <w:p>
            <w:r/>
            <w:r>
              <w:rPr>
                <w:rFonts w:ascii="Calibri" w:hAnsi="Calibri"/>
                <w:color w:val="333333"/>
                <w:sz w:val="20"/>
              </w:rPr>
              <w:t>26</w:t>
            </w:r>
          </w:p>
        </w:tc>
      </w:tr>
      <w:tr>
        <w:tc>
          <w:tcPr>
            <w:tcW w:type="dxa" w:w="2880"/>
            <w:shd w:fill="F5F5F5"/>
          </w:tcPr>
          <w:p>
            <w:r/>
            <w:r>
              <w:rPr>
                <w:rFonts w:ascii="Calibri" w:hAnsi="Calibri"/>
                <w:color w:val="333333"/>
                <w:sz w:val="20"/>
              </w:rPr>
              <w:t>Total</w:t>
            </w:r>
          </w:p>
        </w:tc>
        <w:tc>
          <w:tcPr>
            <w:tcW w:type="dxa" w:w="2880"/>
            <w:shd w:fill="F5F5F5"/>
          </w:tcPr>
          <w:p>
            <w:r/>
            <w:r>
              <w:rPr>
                <w:rFonts w:ascii="Calibri" w:hAnsi="Calibri"/>
                <w:color w:val="333333"/>
                <w:sz w:val="20"/>
              </w:rPr>
              <w:t>75</w:t>
            </w:r>
          </w:p>
        </w:tc>
        <w:tc>
          <w:tcPr>
            <w:tcW w:type="dxa" w:w="2880"/>
            <w:shd w:fill="F5F5F5"/>
          </w:tcPr>
          <w:p>
            <w:r/>
            <w:r>
              <w:rPr>
                <w:rFonts w:ascii="Calibri" w:hAnsi="Calibri"/>
                <w:color w:val="333333"/>
                <w:sz w:val="20"/>
              </w:rPr>
              <w:t>29</w:t>
            </w:r>
          </w:p>
        </w:tc>
      </w:tr>
    </w:tbl>
    <w:p/>
    <w:p>
      <w:pPr>
        <w:pStyle w:val="Heading2"/>
      </w:pPr>
      <w:r>
        <w:t>4.3 OWASP Top 10 2025 Mapping</w:t>
      </w:r>
    </w:p>
    <w:p>
      <w:r>
        <w:rPr>
          <w:rFonts w:ascii="Calibri" w:hAnsi="Calibri"/>
          <w:color w:val="333333"/>
          <w:sz w:val="22"/>
        </w:rPr>
        <w:t>The following table maps each finding to its corresponding OWASP Top 10 2025 category. Findings are mapped via CWE identifiers where available.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E3A5F"/>
          </w:tcPr>
          <w:p>
            <w:pPr>
              <w:jc w:val="left"/>
            </w:pPr>
            <w:r/>
            <w:r>
              <w:rPr>
                <w:rFonts w:ascii="Calibri" w:hAnsi="Calibri"/>
                <w:b/>
                <w:color w:val="FFFFFF"/>
                <w:sz w:val="20"/>
              </w:rPr>
              <w:t>OWASP ID</w:t>
            </w:r>
          </w:p>
        </w:tc>
        <w:tc>
          <w:tcPr>
            <w:tcW w:type="dxa" w:w="3600"/>
            <w:shd w:fill="1E3A5F"/>
          </w:tcPr>
          <w:p>
            <w:pPr>
              <w:jc w:val="left"/>
            </w:pPr>
            <w:r/>
            <w:r>
              <w:rPr>
                <w:rFonts w:ascii="Calibri" w:hAnsi="Calibri"/>
                <w:b/>
                <w:color w:val="FFFFFF"/>
                <w:sz w:val="20"/>
              </w:rPr>
              <w:t>Category</w:t>
            </w:r>
          </w:p>
        </w:tc>
        <w:tc>
          <w:tcPr>
            <w:tcW w:type="dxa" w:w="2880"/>
            <w:shd w:fill="1E3A5F"/>
          </w:tcPr>
          <w:p>
            <w:pPr>
              <w:jc w:val="left"/>
            </w:pPr>
            <w:r/>
            <w:r>
              <w:rPr>
                <w:rFonts w:ascii="Calibri" w:hAnsi="Calibri"/>
                <w:b/>
                <w:color w:val="FFFFFF"/>
                <w:sz w:val="20"/>
              </w:rPr>
              <w:t>Related Findings</w:t>
            </w:r>
          </w:p>
        </w:tc>
        <w:tc>
          <w:tcPr>
            <w:tcW w:type="dxa" w:w="1152"/>
            <w:shd w:fill="1E3A5F"/>
          </w:tcPr>
          <w:p>
            <w:pPr>
              <w:jc w:val="left"/>
            </w:pPr>
            <w:r/>
            <w:r>
              <w:rPr>
                <w:rFonts w:ascii="Calibri" w:hAnsi="Calibri"/>
                <w:b/>
                <w:color w:val="FFFFFF"/>
                <w:sz w:val="20"/>
              </w:rPr>
              <w:t>Count</w:t>
            </w:r>
          </w:p>
        </w:tc>
      </w:tr>
      <w:tr>
        <w:tc>
          <w:tcPr>
            <w:tcW w:type="dxa" w:w="1728"/>
          </w:tcPr>
          <w:p>
            <w:r/>
            <w:r>
              <w:rPr>
                <w:rFonts w:ascii="Calibri" w:hAnsi="Calibri"/>
                <w:color w:val="333333"/>
                <w:sz w:val="20"/>
              </w:rPr>
              <w:t>A01:2025</w:t>
            </w:r>
          </w:p>
        </w:tc>
        <w:tc>
          <w:tcPr>
            <w:tcW w:type="dxa" w:w="3600"/>
          </w:tcPr>
          <w:p>
            <w:r/>
            <w:r>
              <w:rPr>
                <w:rFonts w:ascii="Calibri" w:hAnsi="Calibri"/>
                <w:color w:val="333333"/>
                <w:sz w:val="20"/>
              </w:rPr>
              <w:t>Broken Access Control</w:t>
            </w:r>
          </w:p>
        </w:tc>
        <w:tc>
          <w:tcPr>
            <w:tcW w:type="dxa" w:w="2880"/>
          </w:tcPr>
          <w:p>
            <w:r/>
            <w:r>
              <w:rPr>
                <w:rFonts w:ascii="Calibri" w:hAnsi="Calibri"/>
                <w:color w:val="333333"/>
                <w:sz w:val="20"/>
              </w:rPr>
              <w:t>None</w:t>
            </w:r>
          </w:p>
        </w:tc>
        <w:tc>
          <w:tcPr>
            <w:tcW w:type="dxa" w:w="1152"/>
          </w:tcPr>
          <w:p>
            <w:r/>
            <w:r>
              <w:rPr>
                <w:rFonts w:ascii="Calibri" w:hAnsi="Calibri"/>
                <w:color w:val="333333"/>
                <w:sz w:val="20"/>
              </w:rPr>
              <w:t>0</w:t>
            </w:r>
          </w:p>
        </w:tc>
      </w:tr>
      <w:tr>
        <w:tc>
          <w:tcPr>
            <w:tcW w:type="dxa" w:w="1728"/>
            <w:shd w:fill="F5F5F5"/>
          </w:tcPr>
          <w:p>
            <w:r/>
            <w:r>
              <w:rPr>
                <w:rFonts w:ascii="Calibri" w:hAnsi="Calibri"/>
                <w:color w:val="333333"/>
                <w:sz w:val="20"/>
              </w:rPr>
              <w:t>A02:2025</w:t>
            </w:r>
          </w:p>
        </w:tc>
        <w:tc>
          <w:tcPr>
            <w:tcW w:type="dxa" w:w="3600"/>
            <w:shd w:fill="F5F5F5"/>
          </w:tcPr>
          <w:p>
            <w:r/>
            <w:r>
              <w:rPr>
                <w:rFonts w:ascii="Calibri" w:hAnsi="Calibri"/>
                <w:color w:val="333333"/>
                <w:sz w:val="20"/>
              </w:rPr>
              <w:t>Security Misconfiguration</w:t>
            </w:r>
          </w:p>
        </w:tc>
        <w:tc>
          <w:tcPr>
            <w:tcW w:type="dxa" w:w="2880"/>
            <w:shd w:fill="F5F5F5"/>
          </w:tcPr>
          <w:p>
            <w:r/>
            <w:r>
              <w:rPr>
                <w:rFonts w:ascii="Calibri" w:hAnsi="Calibri"/>
                <w:color w:val="333333"/>
                <w:sz w:val="20"/>
              </w:rPr>
              <w:t>CKV_AZURE_113, CKV_AZURE_18, CKV_AZURE_19, CKV_AZURE_206, CKV_AZURE_212, CKV_AZURE_213, CKV_AZURE_222, CKV_AZURE_225, CKV_AZURE_229, CKV_AZURE_35, CKV_AZURE_43, CKV_AZURE_67, CKV_AZURE_84, CKV_AZURE_87, zap-10049, zap-90005</w:t>
            </w:r>
          </w:p>
        </w:tc>
        <w:tc>
          <w:tcPr>
            <w:tcW w:type="dxa" w:w="1152"/>
            <w:shd w:fill="F5F5F5"/>
          </w:tcPr>
          <w:p>
            <w:r/>
            <w:r>
              <w:rPr>
                <w:rFonts w:ascii="Calibri" w:hAnsi="Calibri"/>
                <w:color w:val="333333"/>
                <w:sz w:val="20"/>
              </w:rPr>
              <w:t>16</w:t>
            </w:r>
          </w:p>
        </w:tc>
      </w:tr>
      <w:tr>
        <w:tc>
          <w:tcPr>
            <w:tcW w:type="dxa" w:w="1728"/>
          </w:tcPr>
          <w:p>
            <w:r/>
            <w:r>
              <w:rPr>
                <w:rFonts w:ascii="Calibri" w:hAnsi="Calibri"/>
                <w:color w:val="333333"/>
                <w:sz w:val="20"/>
              </w:rPr>
              <w:t>A03:2025</w:t>
            </w:r>
          </w:p>
        </w:tc>
        <w:tc>
          <w:tcPr>
            <w:tcW w:type="dxa" w:w="3600"/>
          </w:tcPr>
          <w:p>
            <w:r/>
            <w:r>
              <w:rPr>
                <w:rFonts w:ascii="Calibri" w:hAnsi="Calibri"/>
                <w:color w:val="333333"/>
                <w:sz w:val="20"/>
              </w:rPr>
              <w:t>Software Supply Chain Failures</w:t>
            </w:r>
          </w:p>
        </w:tc>
        <w:tc>
          <w:tcPr>
            <w:tcW w:type="dxa" w:w="2880"/>
          </w:tcPr>
          <w:p>
            <w:r/>
            <w:r>
              <w:rPr>
                <w:rFonts w:ascii="Calibri" w:hAnsi="Calibri"/>
                <w:color w:val="333333"/>
                <w:sz w:val="20"/>
              </w:rPr>
              <w:t>None</w:t>
            </w:r>
          </w:p>
        </w:tc>
        <w:tc>
          <w:tcPr>
            <w:tcW w:type="dxa" w:w="1152"/>
          </w:tcPr>
          <w:p>
            <w:r/>
            <w:r>
              <w:rPr>
                <w:rFonts w:ascii="Calibri" w:hAnsi="Calibri"/>
                <w:color w:val="333333"/>
                <w:sz w:val="20"/>
              </w:rPr>
              <w:t>0</w:t>
            </w:r>
          </w:p>
        </w:tc>
      </w:tr>
      <w:tr>
        <w:tc>
          <w:tcPr>
            <w:tcW w:type="dxa" w:w="1728"/>
            <w:shd w:fill="F5F5F5"/>
          </w:tcPr>
          <w:p>
            <w:r/>
            <w:r>
              <w:rPr>
                <w:rFonts w:ascii="Calibri" w:hAnsi="Calibri"/>
                <w:color w:val="333333"/>
                <w:sz w:val="20"/>
              </w:rPr>
              <w:t>A04:2025</w:t>
            </w:r>
          </w:p>
        </w:tc>
        <w:tc>
          <w:tcPr>
            <w:tcW w:type="dxa" w:w="3600"/>
            <w:shd w:fill="F5F5F5"/>
          </w:tcPr>
          <w:p>
            <w:r/>
            <w:r>
              <w:rPr>
                <w:rFonts w:ascii="Calibri" w:hAnsi="Calibri"/>
                <w:color w:val="333333"/>
                <w:sz w:val="20"/>
              </w:rPr>
              <w:t>Cryptographic Failures</w:t>
            </w:r>
          </w:p>
        </w:tc>
        <w:tc>
          <w:tcPr>
            <w:tcW w:type="dxa" w:w="2880"/>
            <w:shd w:fill="F5F5F5"/>
          </w:tcPr>
          <w:p>
            <w:r/>
            <w:r>
              <w:rPr>
                <w:rFonts w:ascii="Calibri" w:hAnsi="Calibri"/>
                <w:color w:val="333333"/>
                <w:sz w:val="20"/>
              </w:rPr>
              <w:t>zap-10035</w:t>
            </w:r>
          </w:p>
        </w:tc>
        <w:tc>
          <w:tcPr>
            <w:tcW w:type="dxa" w:w="1152"/>
            <w:shd w:fill="F5F5F5"/>
          </w:tcPr>
          <w:p>
            <w:r/>
            <w:r>
              <w:rPr>
                <w:rFonts w:ascii="Calibri" w:hAnsi="Calibri"/>
                <w:color w:val="333333"/>
                <w:sz w:val="20"/>
              </w:rPr>
              <w:t>1</w:t>
            </w:r>
          </w:p>
        </w:tc>
      </w:tr>
      <w:tr>
        <w:tc>
          <w:tcPr>
            <w:tcW w:type="dxa" w:w="1728"/>
          </w:tcPr>
          <w:p>
            <w:r/>
            <w:r>
              <w:rPr>
                <w:rFonts w:ascii="Calibri" w:hAnsi="Calibri"/>
                <w:color w:val="333333"/>
                <w:sz w:val="20"/>
              </w:rPr>
              <w:t>A05:2025</w:t>
            </w:r>
          </w:p>
        </w:tc>
        <w:tc>
          <w:tcPr>
            <w:tcW w:type="dxa" w:w="3600"/>
          </w:tcPr>
          <w:p>
            <w:r/>
            <w:r>
              <w:rPr>
                <w:rFonts w:ascii="Calibri" w:hAnsi="Calibri"/>
                <w:color w:val="333333"/>
                <w:sz w:val="20"/>
              </w:rPr>
              <w:t>Injection</w:t>
            </w:r>
          </w:p>
        </w:tc>
        <w:tc>
          <w:tcPr>
            <w:tcW w:type="dxa" w:w="2880"/>
          </w:tcPr>
          <w:p>
            <w:r/>
            <w:r>
              <w:rPr>
                <w:rFonts w:ascii="Calibri" w:hAnsi="Calibri"/>
                <w:color w:val="333333"/>
                <w:sz w:val="20"/>
              </w:rPr>
              <w:t>None</w:t>
            </w:r>
          </w:p>
        </w:tc>
        <w:tc>
          <w:tcPr>
            <w:tcW w:type="dxa" w:w="1152"/>
          </w:tcPr>
          <w:p>
            <w:r/>
            <w:r>
              <w:rPr>
                <w:rFonts w:ascii="Calibri" w:hAnsi="Calibri"/>
                <w:color w:val="333333"/>
                <w:sz w:val="20"/>
              </w:rPr>
              <w:t>0</w:t>
            </w:r>
          </w:p>
        </w:tc>
      </w:tr>
      <w:tr>
        <w:tc>
          <w:tcPr>
            <w:tcW w:type="dxa" w:w="1728"/>
            <w:shd w:fill="F5F5F5"/>
          </w:tcPr>
          <w:p>
            <w:r/>
            <w:r>
              <w:rPr>
                <w:rFonts w:ascii="Calibri" w:hAnsi="Calibri"/>
                <w:color w:val="333333"/>
                <w:sz w:val="20"/>
              </w:rPr>
              <w:t>A06:2025</w:t>
            </w:r>
          </w:p>
        </w:tc>
        <w:tc>
          <w:tcPr>
            <w:tcW w:type="dxa" w:w="3600"/>
            <w:shd w:fill="F5F5F5"/>
          </w:tcPr>
          <w:p>
            <w:r/>
            <w:r>
              <w:rPr>
                <w:rFonts w:ascii="Calibri" w:hAnsi="Calibri"/>
                <w:color w:val="333333"/>
                <w:sz w:val="20"/>
              </w:rPr>
              <w:t>Insecure Design</w:t>
            </w:r>
          </w:p>
        </w:tc>
        <w:tc>
          <w:tcPr>
            <w:tcW w:type="dxa" w:w="2880"/>
            <w:shd w:fill="F5F5F5"/>
          </w:tcPr>
          <w:p>
            <w:r/>
            <w:r>
              <w:rPr>
                <w:rFonts w:ascii="Calibri" w:hAnsi="Calibri"/>
                <w:color w:val="333333"/>
                <w:sz w:val="20"/>
              </w:rPr>
              <w:t>None</w:t>
            </w:r>
          </w:p>
        </w:tc>
        <w:tc>
          <w:tcPr>
            <w:tcW w:type="dxa" w:w="1152"/>
            <w:shd w:fill="F5F5F5"/>
          </w:tcPr>
          <w:p>
            <w:r/>
            <w:r>
              <w:rPr>
                <w:rFonts w:ascii="Calibri" w:hAnsi="Calibri"/>
                <w:color w:val="333333"/>
                <w:sz w:val="20"/>
              </w:rPr>
              <w:t>0</w:t>
            </w:r>
          </w:p>
        </w:tc>
      </w:tr>
      <w:tr>
        <w:tc>
          <w:tcPr>
            <w:tcW w:type="dxa" w:w="1728"/>
          </w:tcPr>
          <w:p>
            <w:r/>
            <w:r>
              <w:rPr>
                <w:rFonts w:ascii="Calibri" w:hAnsi="Calibri"/>
                <w:color w:val="333333"/>
                <w:sz w:val="20"/>
              </w:rPr>
              <w:t>A07:2025</w:t>
            </w:r>
          </w:p>
        </w:tc>
        <w:tc>
          <w:tcPr>
            <w:tcW w:type="dxa" w:w="3600"/>
          </w:tcPr>
          <w:p>
            <w:r/>
            <w:r>
              <w:rPr>
                <w:rFonts w:ascii="Calibri" w:hAnsi="Calibri"/>
                <w:color w:val="333333"/>
                <w:sz w:val="20"/>
              </w:rPr>
              <w:t>Authentication Failures</w:t>
            </w:r>
          </w:p>
        </w:tc>
        <w:tc>
          <w:tcPr>
            <w:tcW w:type="dxa" w:w="2880"/>
          </w:tcPr>
          <w:p>
            <w:r/>
            <w:r>
              <w:rPr>
                <w:rFonts w:ascii="Calibri" w:hAnsi="Calibri"/>
                <w:color w:val="333333"/>
                <w:sz w:val="20"/>
              </w:rPr>
              <w:t>CKV2_AZURE_27, CKV_AZURE_16, CKV_AZURE_17, CKV_AZURE_71</w:t>
            </w:r>
          </w:p>
        </w:tc>
        <w:tc>
          <w:tcPr>
            <w:tcW w:type="dxa" w:w="1152"/>
          </w:tcPr>
          <w:p>
            <w:r/>
            <w:r>
              <w:rPr>
                <w:rFonts w:ascii="Calibri" w:hAnsi="Calibri"/>
                <w:color w:val="333333"/>
                <w:sz w:val="20"/>
              </w:rPr>
              <w:t>4</w:t>
            </w:r>
          </w:p>
        </w:tc>
      </w:tr>
      <w:tr>
        <w:tc>
          <w:tcPr>
            <w:tcW w:type="dxa" w:w="1728"/>
            <w:shd w:fill="F5F5F5"/>
          </w:tcPr>
          <w:p>
            <w:r/>
            <w:r>
              <w:rPr>
                <w:rFonts w:ascii="Calibri" w:hAnsi="Calibri"/>
                <w:color w:val="333333"/>
                <w:sz w:val="20"/>
              </w:rPr>
              <w:t>A08:2025</w:t>
            </w:r>
          </w:p>
        </w:tc>
        <w:tc>
          <w:tcPr>
            <w:tcW w:type="dxa" w:w="3600"/>
            <w:shd w:fill="F5F5F5"/>
          </w:tcPr>
          <w:p>
            <w:r/>
            <w:r>
              <w:rPr>
                <w:rFonts w:ascii="Calibri" w:hAnsi="Calibri"/>
                <w:color w:val="333333"/>
                <w:sz w:val="20"/>
              </w:rPr>
              <w:t>Software or Data Integrity Failures</w:t>
            </w:r>
          </w:p>
        </w:tc>
        <w:tc>
          <w:tcPr>
            <w:tcW w:type="dxa" w:w="2880"/>
            <w:shd w:fill="F5F5F5"/>
          </w:tcPr>
          <w:p>
            <w:r/>
            <w:r>
              <w:rPr>
                <w:rFonts w:ascii="Calibri" w:hAnsi="Calibri"/>
                <w:color w:val="333333"/>
                <w:sz w:val="20"/>
              </w:rPr>
              <w:t>None</w:t>
            </w:r>
          </w:p>
        </w:tc>
        <w:tc>
          <w:tcPr>
            <w:tcW w:type="dxa" w:w="1152"/>
            <w:shd w:fill="F5F5F5"/>
          </w:tcPr>
          <w:p>
            <w:r/>
            <w:r>
              <w:rPr>
                <w:rFonts w:ascii="Calibri" w:hAnsi="Calibri"/>
                <w:color w:val="333333"/>
                <w:sz w:val="20"/>
              </w:rPr>
              <w:t>0</w:t>
            </w:r>
          </w:p>
        </w:tc>
      </w:tr>
      <w:tr>
        <w:tc>
          <w:tcPr>
            <w:tcW w:type="dxa" w:w="1728"/>
          </w:tcPr>
          <w:p>
            <w:r/>
            <w:r>
              <w:rPr>
                <w:rFonts w:ascii="Calibri" w:hAnsi="Calibri"/>
                <w:color w:val="333333"/>
                <w:sz w:val="20"/>
              </w:rPr>
              <w:t>A09:2025</w:t>
            </w:r>
          </w:p>
        </w:tc>
        <w:tc>
          <w:tcPr>
            <w:tcW w:type="dxa" w:w="3600"/>
          </w:tcPr>
          <w:p>
            <w:r/>
            <w:r>
              <w:rPr>
                <w:rFonts w:ascii="Calibri" w:hAnsi="Calibri"/>
                <w:color w:val="333333"/>
                <w:sz w:val="20"/>
              </w:rPr>
              <w:t>Logging &amp; Alerting Failures</w:t>
            </w:r>
          </w:p>
        </w:tc>
        <w:tc>
          <w:tcPr>
            <w:tcW w:type="dxa" w:w="2880"/>
          </w:tcPr>
          <w:p>
            <w:r/>
            <w:r>
              <w:rPr>
                <w:rFonts w:ascii="Calibri" w:hAnsi="Calibri"/>
                <w:color w:val="333333"/>
                <w:sz w:val="20"/>
              </w:rPr>
              <w:t>CKV_AZURE_20, CKV_AZURE_21, CKV_AZURE_22, CKV_AZURE_23, CKV_AZURE_24, CKV_AZURE_25, CKV_AZURE_26, CKV_AZURE_27</w:t>
            </w:r>
          </w:p>
        </w:tc>
        <w:tc>
          <w:tcPr>
            <w:tcW w:type="dxa" w:w="1152"/>
          </w:tcPr>
          <w:p>
            <w:r/>
            <w:r>
              <w:rPr>
                <w:rFonts w:ascii="Calibri" w:hAnsi="Calibri"/>
                <w:color w:val="333333"/>
                <w:sz w:val="20"/>
              </w:rPr>
              <w:t>8</w:t>
            </w:r>
          </w:p>
        </w:tc>
      </w:tr>
      <w:tr>
        <w:tc>
          <w:tcPr>
            <w:tcW w:type="dxa" w:w="1728"/>
            <w:shd w:fill="F5F5F5"/>
          </w:tcPr>
          <w:p>
            <w:r/>
            <w:r>
              <w:rPr>
                <w:rFonts w:ascii="Calibri" w:hAnsi="Calibri"/>
                <w:color w:val="333333"/>
                <w:sz w:val="20"/>
              </w:rPr>
              <w:t>A10:2025</w:t>
            </w:r>
          </w:p>
        </w:tc>
        <w:tc>
          <w:tcPr>
            <w:tcW w:type="dxa" w:w="3600"/>
            <w:shd w:fill="F5F5F5"/>
          </w:tcPr>
          <w:p>
            <w:r/>
            <w:r>
              <w:rPr>
                <w:rFonts w:ascii="Calibri" w:hAnsi="Calibri"/>
                <w:color w:val="333333"/>
                <w:sz w:val="20"/>
              </w:rPr>
              <w:t>Mishandling of Exceptional Conditions</w:t>
            </w:r>
          </w:p>
        </w:tc>
        <w:tc>
          <w:tcPr>
            <w:tcW w:type="dxa" w:w="2880"/>
            <w:shd w:fill="F5F5F5"/>
          </w:tcPr>
          <w:p>
            <w:r/>
            <w:r>
              <w:rPr>
                <w:rFonts w:ascii="Calibri" w:hAnsi="Calibri"/>
                <w:color w:val="333333"/>
                <w:sz w:val="20"/>
              </w:rPr>
              <w:t>None</w:t>
            </w:r>
          </w:p>
        </w:tc>
        <w:tc>
          <w:tcPr>
            <w:tcW w:type="dxa" w:w="1152"/>
            <w:shd w:fill="F5F5F5"/>
          </w:tcPr>
          <w:p>
            <w:r/>
            <w:r>
              <w:rPr>
                <w:rFonts w:ascii="Calibri" w:hAnsi="Calibri"/>
                <w:color w:val="333333"/>
                <w:sz w:val="20"/>
              </w:rPr>
              <w:t>0</w:t>
            </w:r>
          </w:p>
        </w:tc>
      </w:tr>
    </w:tbl>
    <w:p/>
    <w:p>
      <w:r>
        <w:br w:type="page"/>
      </w:r>
    </w:p>
    <w:p>
      <w:pPr>
        <w:pStyle w:val="Heading1"/>
      </w:pPr>
      <w:r>
        <w:t>5. Detailed Findings</w:t>
      </w:r>
    </w:p>
    <w:p>
      <w:r>
        <w:rPr>
          <w:rFonts w:ascii="Calibri" w:hAnsi="Calibri"/>
          <w:color w:val="333333"/>
          <w:sz w:val="22"/>
        </w:rPr>
        <w:t>This section provides a detailed analysis of each unique finding, grouped by assessed risk level. Findings are deduplicated by rule ID—instance counts reflect the number of occurrences across all scanned targets. The assessed risk reflects real-world exploitability in the context of the Cadence platform, not the raw severity reported by the scanning tool.</w:t>
      </w:r>
    </w:p>
    <w:p>
      <w:pPr>
        <w:pStyle w:val="Heading2"/>
      </w:pPr>
      <w:r>
        <w:t>5.1 MEDIUM Risk Findings</w:t>
      </w:r>
    </w:p>
    <w:p>
      <w:pPr>
        <w:pStyle w:val="Heading3"/>
      </w:pPr>
      <w:r>
        <w:t>CKV2_AZURE_27: Ensure Azure AD authentication is enabled for Azure SQL (MSSQL)</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Medium</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CWE-306</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A07:2025 (Authentication Failures)</w:t>
            </w:r>
          </w:p>
        </w:tc>
      </w:tr>
    </w:tbl>
    <w:p/>
    <w:p>
      <w:r>
        <w:rPr>
          <w:b/>
          <w:color w:val="333333"/>
        </w:rPr>
        <w:t xml:space="preserve">Description: </w:t>
      </w:r>
      <w:r>
        <w:rPr>
          <w:color w:val="333333"/>
          <w:sz w:val="22"/>
        </w:rPr>
        <w:t>Microsoft Entra ID authentication should be enabled for Azure SQL to replace SQL-based authentication with centralized identity management.</w:t>
      </w:r>
    </w:p>
    <w:p>
      <w:r>
        <w:rPr>
          <w:b/>
          <w:color w:val="333333"/>
        </w:rPr>
        <w:t>Affected Locations:</w:t>
      </w:r>
    </w:p>
    <w:p>
      <w:pPr>
        <w:pStyle w:val="ListBullet"/>
      </w:pPr>
      <w:r>
        <w:rPr>
          <w:rFonts w:ascii="Calibri" w:hAnsi="Calibri"/>
          <w:color w:val="333333"/>
          <w:sz w:val="22"/>
        </w:rPr>
        <w:t>infrastructure/modules/database.bicep:13</w:t>
      </w:r>
    </w:p>
    <w:p>
      <w:r>
        <w:rPr>
          <w:b/>
          <w:color w:val="333333"/>
        </w:rPr>
        <w:t xml:space="preserve">Risk Assessment: </w:t>
      </w:r>
      <w:r>
        <w:rPr>
          <w:color w:val="333333"/>
          <w:sz w:val="22"/>
        </w:rPr>
        <w:t>Medium. Microsoft Entra ID authentication is not enabled as the primary authentication mechanism for the SQL Server. While SQL authentication is configured, Entra ID authentication provides centralized identity management, conditional access, and eliminates the need for password-based SQL credentials.</w:t>
      </w:r>
    </w:p>
    <w:p>
      <w:r>
        <w:rPr>
          <w:b/>
          <w:color w:val="333333"/>
        </w:rPr>
        <w:t xml:space="preserve">Remediation: </w:t>
      </w:r>
      <w:r>
        <w:rPr>
          <w:color w:val="333333"/>
          <w:sz w:val="22"/>
        </w:rPr>
        <w:t>Enable Microsoft Entra ID authentication for the SQL Server. The Bicep template already accepts Entra ID admin parameters (sqlEntraAdminLogin, sqlEntraAdminObjectId)—ensure these are configured in the parameter files. Reference: https://learn.microsoft.com/en-us/azure/azure-sql/database/authentication-aad-configure</w:t>
      </w:r>
    </w:p>
    <w:p>
      <w:pPr>
        <w:pStyle w:val="Heading3"/>
      </w:pPr>
      <w:r>
        <w:t>CKV_AZURE_113: Ensure that SQL server disables public network access</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Medium</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CWE-284</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The Azure SQL Server should disable public network access and use private endpoints for network isolation.</w:t>
      </w:r>
    </w:p>
    <w:p>
      <w:r>
        <w:rPr>
          <w:b/>
          <w:color w:val="333333"/>
        </w:rPr>
        <w:t>Affected Locations:</w:t>
      </w:r>
    </w:p>
    <w:p>
      <w:pPr>
        <w:pStyle w:val="ListBullet"/>
      </w:pPr>
      <w:r>
        <w:rPr>
          <w:rFonts w:ascii="Calibri" w:hAnsi="Calibri"/>
          <w:color w:val="333333"/>
          <w:sz w:val="22"/>
        </w:rPr>
        <w:t>infrastructure/modules/database.bicep:13</w:t>
      </w:r>
    </w:p>
    <w:p>
      <w:r>
        <w:rPr>
          <w:b/>
          <w:color w:val="333333"/>
        </w:rPr>
        <w:t xml:space="preserve">Risk Assessment: </w:t>
      </w:r>
      <w:r>
        <w:rPr>
          <w:color w:val="333333"/>
          <w:sz w:val="22"/>
        </w:rPr>
        <w:t>Medium. The SQL Server currently allows public network access. While authentication is required and firewall rules limit access, implementing private endpoints would eliminate exposure of the database endpoint to the public internet. This is an important hardening step for multi-tenant data protection.</w:t>
      </w:r>
    </w:p>
    <w:p>
      <w:r>
        <w:rPr>
          <w:b/>
          <w:color w:val="333333"/>
        </w:rPr>
        <w:t xml:space="preserve">Remediation: </w:t>
      </w:r>
      <w:r>
        <w:rPr>
          <w:color w:val="333333"/>
          <w:sz w:val="22"/>
        </w:rPr>
        <w:t>Disable public network access on the SQL Server and configure a private endpoint. Update the Bicep template with publicNetworkAccess: 'Disabled' and add a privateEndpoints resource. Reference: https://learn.microsoft.com/en-us/azure/azure-sql/database/private-endpoint-overview</w:t>
      </w:r>
    </w:p>
    <w:p>
      <w:pPr>
        <w:pStyle w:val="Heading3"/>
      </w:pPr>
      <w:r>
        <w:t>CKV_AZURE_222: Ensure that Azure Web App public network access is disabled</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Medium</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2</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CWE-284</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Public network access to the App Service should be restricted. Access should be limited to a virtual network or specific IP ranges.</w:t>
      </w:r>
    </w:p>
    <w:p>
      <w:r>
        <w:rPr>
          <w:b/>
          <w:color w:val="333333"/>
        </w:rPr>
        <w:t>Affected Locations:</w:t>
      </w:r>
    </w:p>
    <w:p>
      <w:pPr>
        <w:pStyle w:val="ListBullet"/>
      </w:pPr>
      <w:r>
        <w:rPr>
          <w:rFonts w:ascii="Calibri" w:hAnsi="Calibri"/>
          <w:color w:val="333333"/>
          <w:sz w:val="22"/>
        </w:rPr>
        <w:t>infrastructure/modules/webapp.bicep:24</w:t>
      </w:r>
    </w:p>
    <w:p>
      <w:pPr>
        <w:pStyle w:val="ListBullet"/>
      </w:pPr>
      <w:r>
        <w:rPr>
          <w:rFonts w:ascii="Calibri" w:hAnsi="Calibri"/>
          <w:color w:val="333333"/>
          <w:sz w:val="22"/>
        </w:rPr>
        <w:t>infrastructure/modules/functionapp.bicep:28</w:t>
      </w:r>
    </w:p>
    <w:p>
      <w:r>
        <w:rPr>
          <w:b/>
          <w:color w:val="333333"/>
        </w:rPr>
        <w:t xml:space="preserve">Risk Assessment: </w:t>
      </w:r>
      <w:r>
        <w:rPr>
          <w:color w:val="333333"/>
          <w:sz w:val="22"/>
        </w:rPr>
        <w:t>Medium. The App Service currently allows public network access. While all API endpoints require JWT authentication, restricting network access to known IP ranges or a virtual network would add an additional layer of defense. This is a recommended hardening step for production environments handling sensitive exercise data.</w:t>
      </w:r>
    </w:p>
    <w:p>
      <w:r>
        <w:rPr>
          <w:b/>
          <w:color w:val="333333"/>
        </w:rPr>
        <w:t xml:space="preserve">Remediation: </w:t>
      </w:r>
      <w:r>
        <w:rPr>
          <w:color w:val="333333"/>
          <w:sz w:val="22"/>
        </w:rPr>
        <w:t>Configure the App Service to restrict public network access. Add access restrictions in the Bicep template or configure an Azure Virtual Network integration with a private endpoint. Reference: https://learn.microsoft.com/en-us/azure/app-service/networking-features</w:t>
      </w:r>
    </w:p>
    <w:p>
      <w:pPr>
        <w:pStyle w:val="Heading2"/>
      </w:pPr>
      <w:r>
        <w:t>5.2 LOW Risk Findings</w:t>
      </w:r>
    </w:p>
    <w:p>
      <w:pPr>
        <w:pStyle w:val="Heading3"/>
      </w:pPr>
      <w:r>
        <w:t>CKV_AZURE_16: Ensure that Register with Azure Active Directory is enabled on App Service</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Low</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CWE-306</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A07:2025 (Authentication Failures)</w:t>
            </w:r>
          </w:p>
        </w:tc>
      </w:tr>
    </w:tbl>
    <w:p/>
    <w:p>
      <w:r>
        <w:rPr>
          <w:b/>
          <w:color w:val="333333"/>
        </w:rPr>
        <w:t xml:space="preserve">Description: </w:t>
      </w:r>
      <w:r>
        <w:rPr>
          <w:color w:val="333333"/>
          <w:sz w:val="22"/>
        </w:rPr>
        <w:t>The App Service should register with Microsoft Entra ID to enable centralized identity management and conditional access policies.</w:t>
      </w:r>
    </w:p>
    <w:p>
      <w:r>
        <w:rPr>
          <w:b/>
          <w:color w:val="333333"/>
        </w:rPr>
        <w:t>Affected Locations:</w:t>
      </w:r>
    </w:p>
    <w:p>
      <w:pPr>
        <w:pStyle w:val="ListBullet"/>
      </w:pPr>
      <w:r>
        <w:rPr>
          <w:rFonts w:ascii="Calibri" w:hAnsi="Calibri"/>
          <w:color w:val="333333"/>
          <w:sz w:val="22"/>
        </w:rPr>
        <w:t>infrastructure/modules/webapp.bicep:24</w:t>
      </w:r>
    </w:p>
    <w:p>
      <w:r>
        <w:rPr>
          <w:b/>
          <w:color w:val="333333"/>
        </w:rPr>
        <w:t xml:space="preserve">Risk Assessment: </w:t>
      </w:r>
      <w:r>
        <w:rPr>
          <w:color w:val="333333"/>
          <w:sz w:val="22"/>
        </w:rP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that Register with Azure Active Directory is enabled on App Service</w:t>
        <w:br/>
        <w:t>Resource: Microsoft.Web/sites.webApp</w:t>
      </w:r>
    </w:p>
    <w:p>
      <w:pPr>
        <w:pStyle w:val="Heading3"/>
      </w:pPr>
      <w:r>
        <w:t>CKV_AZURE_17: Ensure the web app has 'Client Certificates (Incoming client certificates)' set</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Low</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2</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CWE-295</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A07:2025 (Authentication Failures)</w:t>
            </w:r>
          </w:p>
        </w:tc>
      </w:tr>
    </w:tbl>
    <w:p/>
    <w:p>
      <w:r>
        <w:rPr>
          <w:b/>
          <w:color w:val="333333"/>
        </w:rPr>
        <w:t xml:space="preserve">Description: </w:t>
      </w:r>
      <w:r>
        <w:rPr>
          <w:color w:val="333333"/>
          <w:sz w:val="22"/>
        </w:rPr>
        <w:t>Enabling client certificate authentication on the App Service adds an additional layer of mutual TLS authentication for incoming requests.</w:t>
      </w:r>
    </w:p>
    <w:p>
      <w:r>
        <w:rPr>
          <w:b/>
          <w:color w:val="333333"/>
        </w:rPr>
        <w:t>Affected Locations:</w:t>
      </w:r>
    </w:p>
    <w:p>
      <w:pPr>
        <w:pStyle w:val="ListBullet"/>
      </w:pPr>
      <w:r>
        <w:rPr>
          <w:rFonts w:ascii="Calibri" w:hAnsi="Calibri"/>
          <w:color w:val="333333"/>
          <w:sz w:val="22"/>
        </w:rPr>
        <w:t>infrastructure/modules/webapp.bicep:24</w:t>
      </w:r>
    </w:p>
    <w:p>
      <w:pPr>
        <w:pStyle w:val="ListBullet"/>
      </w:pPr>
      <w:r>
        <w:rPr>
          <w:rFonts w:ascii="Calibri" w:hAnsi="Calibri"/>
          <w:color w:val="333333"/>
          <w:sz w:val="22"/>
        </w:rPr>
        <w:t>infrastructure/modules/functionapp.bicep:28</w:t>
      </w:r>
    </w:p>
    <w:p>
      <w:r>
        <w:rPr>
          <w:b/>
          <w:color w:val="333333"/>
        </w:rPr>
        <w:t xml:space="preserve">Risk Assessment: </w:t>
      </w:r>
      <w:r>
        <w:rPr>
          <w:color w:val="333333"/>
          <w:sz w:val="22"/>
        </w:rP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the web app has 'Client Certificates (Incoming client certificates)' set</w:t>
        <w:br/>
        <w:t>Resource: Microsoft.Web/sites.webApp</w:t>
      </w:r>
    </w:p>
    <w:p>
      <w:pPr>
        <w:pStyle w:val="Heading3"/>
      </w:pPr>
      <w:r>
        <w:t>CKV_AZURE_18: Ensure that 'HTTP Version' is the latest if used to run the web app</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Low</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2</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CWE-16</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The web application should use the latest HTTP version (HTTP/2) to benefit from multiplexing, header compression, and improved security.</w:t>
      </w:r>
    </w:p>
    <w:p>
      <w:r>
        <w:rPr>
          <w:b/>
          <w:color w:val="333333"/>
        </w:rPr>
        <w:t>Affected Locations:</w:t>
      </w:r>
    </w:p>
    <w:p>
      <w:pPr>
        <w:pStyle w:val="ListBullet"/>
      </w:pPr>
      <w:r>
        <w:rPr>
          <w:rFonts w:ascii="Calibri" w:hAnsi="Calibri"/>
          <w:color w:val="333333"/>
          <w:sz w:val="22"/>
        </w:rPr>
        <w:t>infrastructure/modules/webapp.bicep:24</w:t>
      </w:r>
    </w:p>
    <w:p>
      <w:pPr>
        <w:pStyle w:val="ListBullet"/>
      </w:pPr>
      <w:r>
        <w:rPr>
          <w:rFonts w:ascii="Calibri" w:hAnsi="Calibri"/>
          <w:color w:val="333333"/>
          <w:sz w:val="22"/>
        </w:rPr>
        <w:t>infrastructure/modules/functionapp.bicep:28</w:t>
      </w:r>
    </w:p>
    <w:p>
      <w:r>
        <w:rPr>
          <w:b/>
          <w:color w:val="333333"/>
        </w:rPr>
        <w:t xml:space="preserve">Risk Assessment: </w:t>
      </w:r>
      <w:r>
        <w:rPr>
          <w:color w:val="333333"/>
          <w:sz w:val="22"/>
        </w:rP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that 'HTTP Version' is the latest if used to run the web app</w:t>
        <w:br/>
        <w:t>Resource: Microsoft.Web/sites.webApp</w:t>
      </w:r>
    </w:p>
    <w:p>
      <w:pPr>
        <w:pStyle w:val="Heading3"/>
      </w:pPr>
      <w:r>
        <w:t>CKV_AZURE_20: Ensure that security contact 'Phone number' is set</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Low</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CWE-778</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A09:2025 (Logging &amp; Alerting Failures)</w:t>
            </w:r>
          </w:p>
        </w:tc>
      </w:tr>
    </w:tbl>
    <w:p/>
    <w:p>
      <w:r>
        <w:rPr>
          <w:b/>
          <w:color w:val="333333"/>
        </w:rPr>
        <w:t xml:space="preserve">Description: </w:t>
      </w:r>
      <w:r>
        <w:rPr>
          <w:color w:val="333333"/>
          <w:sz w:val="22"/>
        </w:rPr>
        <w:t>A security contact phone number should be configured in Defender for Cloud for urgent security incident escalation.</w:t>
      </w:r>
    </w:p>
    <w:p>
      <w:r>
        <w:rPr>
          <w:b/>
          <w:color w:val="333333"/>
        </w:rPr>
        <w:t>Affected Locations:</w:t>
      </w:r>
    </w:p>
    <w:p>
      <w:pPr>
        <w:pStyle w:val="ListBullet"/>
      </w:pPr>
      <w:r>
        <w:rPr>
          <w:rFonts w:ascii="Calibri" w:hAnsi="Calibri"/>
          <w:color w:val="333333"/>
          <w:sz w:val="22"/>
        </w:rPr>
        <w:t>infrastructure/modules/defender.bicep:23</w:t>
      </w:r>
    </w:p>
    <w:p>
      <w:r>
        <w:rPr>
          <w:b/>
          <w:color w:val="333333"/>
        </w:rPr>
        <w:t xml:space="preserve">Risk Assessment: </w:t>
      </w:r>
      <w:r>
        <w:rPr>
          <w:color w:val="333333"/>
          <w:sz w:val="22"/>
        </w:rP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that security contact 'Phone number' is set</w:t>
        <w:br/>
        <w:t>Resource: Microsoft.Security/securityContacts.securityContact</w:t>
      </w:r>
    </w:p>
    <w:p>
      <w:pPr>
        <w:pStyle w:val="Heading3"/>
      </w:pPr>
      <w:r>
        <w:t>CKV_AZURE_21: Ensure that 'Send email notification for high severity alerts' is set to 'On'</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Low</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CWE-778</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A09:2025 (Logging &amp; Alerting Failures)</w:t>
            </w:r>
          </w:p>
        </w:tc>
      </w:tr>
    </w:tbl>
    <w:p/>
    <w:p>
      <w:r>
        <w:rPr>
          <w:b/>
          <w:color w:val="333333"/>
        </w:rPr>
        <w:t xml:space="preserve">Description: </w:t>
      </w:r>
      <w:r>
        <w:rPr>
          <w:color w:val="333333"/>
          <w:sz w:val="22"/>
        </w:rPr>
        <w:t>Email notifications for high-severity Defender for Cloud alerts should be enabled to ensure rapid incident awareness.</w:t>
      </w:r>
    </w:p>
    <w:p>
      <w:r>
        <w:rPr>
          <w:b/>
          <w:color w:val="333333"/>
        </w:rPr>
        <w:t>Affected Locations:</w:t>
      </w:r>
    </w:p>
    <w:p>
      <w:pPr>
        <w:pStyle w:val="ListBullet"/>
      </w:pPr>
      <w:r>
        <w:rPr>
          <w:rFonts w:ascii="Calibri" w:hAnsi="Calibri"/>
          <w:color w:val="333333"/>
          <w:sz w:val="22"/>
        </w:rPr>
        <w:t>infrastructure/modules/defender.bicep:23</w:t>
      </w:r>
    </w:p>
    <w:p>
      <w:r>
        <w:rPr>
          <w:b/>
          <w:color w:val="333333"/>
        </w:rPr>
        <w:t xml:space="preserve">Risk Assessment: </w:t>
      </w:r>
      <w:r>
        <w:rPr>
          <w:color w:val="333333"/>
          <w:sz w:val="22"/>
        </w:rP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that 'Send email notification for high severity alerts' is set to 'On'</w:t>
        <w:br/>
        <w:t>Resource: Microsoft.Security/securityContacts.securityContact</w:t>
      </w:r>
    </w:p>
    <w:p>
      <w:pPr>
        <w:pStyle w:val="Heading3"/>
      </w:pPr>
      <w:r>
        <w:t>CKV_AZURE_213: Ensure that App Service configures health check</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Low</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2</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CWE-693</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The App Service should configure a health check endpoint to enable automatic instance replacement when an instance becomes unhealthy.</w:t>
      </w:r>
    </w:p>
    <w:p>
      <w:r>
        <w:rPr>
          <w:b/>
          <w:color w:val="333333"/>
        </w:rPr>
        <w:t>Affected Locations:</w:t>
      </w:r>
    </w:p>
    <w:p>
      <w:pPr>
        <w:pStyle w:val="ListBullet"/>
      </w:pPr>
      <w:r>
        <w:rPr>
          <w:rFonts w:ascii="Calibri" w:hAnsi="Calibri"/>
          <w:color w:val="333333"/>
          <w:sz w:val="22"/>
        </w:rPr>
        <w:t>infrastructure/modules/webapp.bicep:24</w:t>
      </w:r>
    </w:p>
    <w:p>
      <w:pPr>
        <w:pStyle w:val="ListBullet"/>
      </w:pPr>
      <w:r>
        <w:rPr>
          <w:rFonts w:ascii="Calibri" w:hAnsi="Calibri"/>
          <w:color w:val="333333"/>
          <w:sz w:val="22"/>
        </w:rPr>
        <w:t>infrastructure/modules/functionapp.bicep:28</w:t>
      </w:r>
    </w:p>
    <w:p>
      <w:r>
        <w:rPr>
          <w:b/>
          <w:color w:val="333333"/>
        </w:rPr>
        <w:t xml:space="preserve">Risk Assessment: </w:t>
      </w:r>
      <w:r>
        <w:rPr>
          <w:color w:val="333333"/>
          <w:sz w:val="22"/>
        </w:rP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that App Service configures health check</w:t>
        <w:br/>
        <w:t>Resource: Microsoft.Web/sites.webApp</w:t>
      </w:r>
    </w:p>
    <w:p>
      <w:pPr>
        <w:pStyle w:val="Heading3"/>
      </w:pPr>
      <w:r>
        <w:t>CKV_AZURE_22: Ensure that 'Send email notification for high severity alerts' is set to 'On'</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Low</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CWE-778</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A09:2025 (Logging &amp; Alerting Failures)</w:t>
            </w:r>
          </w:p>
        </w:tc>
      </w:tr>
    </w:tbl>
    <w:p/>
    <w:p>
      <w:r>
        <w:rPr>
          <w:b/>
          <w:color w:val="333333"/>
        </w:rPr>
        <w:t xml:space="preserve">Description: </w:t>
      </w:r>
      <w:r>
        <w:rPr>
          <w:color w:val="333333"/>
          <w:sz w:val="22"/>
        </w:rPr>
        <w:t>High-severity alert email notifications should also be sent to subscription owners for visibility at the management level.</w:t>
      </w:r>
    </w:p>
    <w:p>
      <w:r>
        <w:rPr>
          <w:b/>
          <w:color w:val="333333"/>
        </w:rPr>
        <w:t>Affected Locations:</w:t>
      </w:r>
    </w:p>
    <w:p>
      <w:pPr>
        <w:pStyle w:val="ListBullet"/>
      </w:pPr>
      <w:r>
        <w:rPr>
          <w:rFonts w:ascii="Calibri" w:hAnsi="Calibri"/>
          <w:color w:val="333333"/>
          <w:sz w:val="22"/>
        </w:rPr>
        <w:t>infrastructure/modules/defender.bicep:23</w:t>
      </w:r>
    </w:p>
    <w:p>
      <w:r>
        <w:rPr>
          <w:b/>
          <w:color w:val="333333"/>
        </w:rPr>
        <w:t xml:space="preserve">Risk Assessment: </w:t>
      </w:r>
      <w:r>
        <w:rPr>
          <w:color w:val="333333"/>
          <w:sz w:val="22"/>
        </w:rP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that 'Send email notification for high severity alerts' is set to 'On'</w:t>
        <w:br/>
        <w:t>Resource: Microsoft.Security/securityContacts.securityContact</w:t>
      </w:r>
    </w:p>
    <w:p>
      <w:pPr>
        <w:pStyle w:val="Heading3"/>
      </w:pPr>
      <w:r>
        <w:t>CKV_AZURE_26: Ensure that 'Send Alerts To' is enabled for MSSQL servers</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Low</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CWE-778</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A09:2025 (Logging &amp; Alerting Failures)</w:t>
            </w:r>
          </w:p>
        </w:tc>
      </w:tr>
    </w:tbl>
    <w:p/>
    <w:p>
      <w:r>
        <w:rPr>
          <w:b/>
          <w:color w:val="333333"/>
        </w:rPr>
        <w:t xml:space="preserve">Description: </w:t>
      </w:r>
      <w:r>
        <w:rPr>
          <w:color w:val="333333"/>
          <w:sz w:val="22"/>
        </w:rPr>
        <w:t>SQL Server security alert notifications should be configured with specific recipient email addresses for targeted alerting.</w:t>
      </w:r>
    </w:p>
    <w:p>
      <w:r>
        <w:rPr>
          <w:b/>
          <w:color w:val="333333"/>
        </w:rPr>
        <w:t>Affected Locations:</w:t>
      </w:r>
    </w:p>
    <w:p>
      <w:pPr>
        <w:pStyle w:val="ListBullet"/>
      </w:pPr>
      <w:r>
        <w:rPr>
          <w:rFonts w:ascii="Calibri" w:hAnsi="Calibri"/>
          <w:color w:val="333333"/>
          <w:sz w:val="22"/>
        </w:rPr>
        <w:t>infrastructure/modules/database.bicep:33</w:t>
      </w:r>
    </w:p>
    <w:p>
      <w:r>
        <w:rPr>
          <w:b/>
          <w:color w:val="333333"/>
        </w:rPr>
        <w:t xml:space="preserve">Risk Assessment: </w:t>
      </w:r>
      <w:r>
        <w:rPr>
          <w:color w:val="333333"/>
          <w:sz w:val="22"/>
        </w:rP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that 'Send Alerts To' is enabled for MSSQL servers</w:t>
        <w:br/>
        <w:t>Resource: Microsoft.Sql/servers/databases.sqlDatabase</w:t>
      </w:r>
    </w:p>
    <w:p>
      <w:pPr>
        <w:pStyle w:val="Heading3"/>
      </w:pPr>
      <w:r>
        <w:t>CKV_AZURE_27: Ensure that 'Email service and co-administrators' is 'Enabled' for MSSQL servers</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Low</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CWE-778</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A09:2025 (Logging &amp; Alerting Failures)</w:t>
            </w:r>
          </w:p>
        </w:tc>
      </w:tr>
    </w:tbl>
    <w:p/>
    <w:p>
      <w:r>
        <w:rPr>
          <w:b/>
          <w:color w:val="333333"/>
        </w:rPr>
        <w:t xml:space="preserve">Description: </w:t>
      </w:r>
      <w:r>
        <w:rPr>
          <w:color w:val="333333"/>
          <w:sz w:val="22"/>
        </w:rPr>
        <w:t>Email notifications for SQL Server security alerts should include service and co-administrators to ensure timely incident response.</w:t>
      </w:r>
    </w:p>
    <w:p>
      <w:r>
        <w:rPr>
          <w:b/>
          <w:color w:val="333333"/>
        </w:rPr>
        <w:t>Affected Locations:</w:t>
      </w:r>
    </w:p>
    <w:p>
      <w:pPr>
        <w:pStyle w:val="ListBullet"/>
      </w:pPr>
      <w:r>
        <w:rPr>
          <w:rFonts w:ascii="Calibri" w:hAnsi="Calibri"/>
          <w:color w:val="333333"/>
          <w:sz w:val="22"/>
        </w:rPr>
        <w:t>infrastructure/modules/database.bicep:33</w:t>
      </w:r>
    </w:p>
    <w:p>
      <w:r>
        <w:rPr>
          <w:b/>
          <w:color w:val="333333"/>
        </w:rPr>
        <w:t xml:space="preserve">Risk Assessment: </w:t>
      </w:r>
      <w:r>
        <w:rPr>
          <w:color w:val="333333"/>
          <w:sz w:val="22"/>
        </w:rP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that 'Email service and co-administrators' is 'Enabled' for MSSQL servers</w:t>
        <w:br/>
        <w:t>Resource: Microsoft.Sql/servers/databases.sqlDatabase</w:t>
      </w:r>
    </w:p>
    <w:p>
      <w:pPr>
        <w:pStyle w:val="Heading3"/>
      </w:pPr>
      <w:r>
        <w:t>CKV_AZURE_67: Ensure that 'HTTP Version' is the latest, if used to run the Function app</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Low</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2</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CWE-16</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The Azure Function App should be configured to use the latest HTTP version (HTTP/2) for improved performance and security features.</w:t>
      </w:r>
    </w:p>
    <w:p>
      <w:r>
        <w:rPr>
          <w:b/>
          <w:color w:val="333333"/>
        </w:rPr>
        <w:t>Affected Locations:</w:t>
      </w:r>
    </w:p>
    <w:p>
      <w:pPr>
        <w:pStyle w:val="ListBullet"/>
      </w:pPr>
      <w:r>
        <w:rPr>
          <w:rFonts w:ascii="Calibri" w:hAnsi="Calibri"/>
          <w:color w:val="333333"/>
          <w:sz w:val="22"/>
        </w:rPr>
        <w:t>infrastructure/modules/webapp.bicep:24</w:t>
      </w:r>
    </w:p>
    <w:p>
      <w:pPr>
        <w:pStyle w:val="ListBullet"/>
      </w:pPr>
      <w:r>
        <w:rPr>
          <w:rFonts w:ascii="Calibri" w:hAnsi="Calibri"/>
          <w:color w:val="333333"/>
          <w:sz w:val="22"/>
        </w:rPr>
        <w:t>infrastructure/modules/functionapp.bicep:28</w:t>
      </w:r>
    </w:p>
    <w:p>
      <w:r>
        <w:rPr>
          <w:b/>
          <w:color w:val="333333"/>
        </w:rPr>
        <w:t xml:space="preserve">Risk Assessment: </w:t>
      </w:r>
      <w:r>
        <w:rPr>
          <w:color w:val="333333"/>
          <w:sz w:val="22"/>
        </w:rPr>
        <w:t>Low.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that 'HTTP Version' is the latest, if used to run the Function app</w:t>
        <w:br/>
        <w:t>Resource: Microsoft.Web/sites.webApp</w:t>
      </w:r>
    </w:p>
    <w:p>
      <w:pPr>
        <w:pStyle w:val="Heading2"/>
      </w:pPr>
      <w:r>
        <w:t>5.3 INFORMATIONAL Risk Findings</w:t>
      </w:r>
    </w:p>
    <w:p>
      <w:pPr>
        <w:pStyle w:val="Heading3"/>
      </w:pPr>
      <w:r>
        <w:t>CKV_AZURE_206: Ensure that Storage Accounts use replication</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Informational</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CWE-693</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The Storage Account should use geo-redundant replication (GRS or RA-GRS) to protect against regional outages.</w:t>
      </w:r>
    </w:p>
    <w:p>
      <w:r>
        <w:rPr>
          <w:b/>
          <w:color w:val="333333"/>
        </w:rPr>
        <w:t>Affected Locations:</w:t>
      </w:r>
    </w:p>
    <w:p>
      <w:pPr>
        <w:pStyle w:val="ListBullet"/>
      </w:pPr>
      <w:r>
        <w:rPr>
          <w:rFonts w:ascii="Calibri" w:hAnsi="Calibri"/>
          <w:color w:val="333333"/>
          <w:sz w:val="22"/>
        </w:rPr>
        <w:t>infrastructure/modules/storage.bicep:5</w:t>
      </w:r>
    </w:p>
    <w:p>
      <w:r>
        <w:rPr>
          <w:b/>
          <w:color w:val="333333"/>
        </w:rPr>
        <w:t xml:space="preserve">Risk Assessment: </w:t>
      </w:r>
      <w:r>
        <w:rPr>
          <w:color w:val="333333"/>
          <w:sz w:val="22"/>
        </w:rPr>
        <w:t>Informational.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that Storage Accounts use replication</w:t>
        <w:br/>
        <w:t>Resource: Microsoft.Storage/storageAccounts.storageAccount</w:t>
      </w:r>
    </w:p>
    <w:p>
      <w:pPr>
        <w:pStyle w:val="Heading3"/>
      </w:pPr>
      <w:r>
        <w:t>CKV_AZURE_212: Ensure App Service has a minimum number of instances for failover</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Informational</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2</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CWE-693</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The App Service should have a minimum of two instances to ensure high availability and failover capability during maintenance or outages.</w:t>
      </w:r>
    </w:p>
    <w:p>
      <w:r>
        <w:rPr>
          <w:b/>
          <w:color w:val="333333"/>
        </w:rPr>
        <w:t>Affected Locations:</w:t>
      </w:r>
    </w:p>
    <w:p>
      <w:pPr>
        <w:pStyle w:val="ListBullet"/>
      </w:pPr>
      <w:r>
        <w:rPr>
          <w:rFonts w:ascii="Calibri" w:hAnsi="Calibri"/>
          <w:color w:val="333333"/>
          <w:sz w:val="22"/>
        </w:rPr>
        <w:t>infrastructure/modules/webapp.bicep:24</w:t>
      </w:r>
    </w:p>
    <w:p>
      <w:pPr>
        <w:pStyle w:val="ListBullet"/>
      </w:pPr>
      <w:r>
        <w:rPr>
          <w:rFonts w:ascii="Calibri" w:hAnsi="Calibri"/>
          <w:color w:val="333333"/>
          <w:sz w:val="22"/>
        </w:rPr>
        <w:t>infrastructure/modules/functionapp.bicep:28</w:t>
      </w:r>
    </w:p>
    <w:p>
      <w:r>
        <w:rPr>
          <w:b/>
          <w:color w:val="333333"/>
        </w:rPr>
        <w:t xml:space="preserve">Risk Assessment: </w:t>
      </w:r>
      <w:r>
        <w:rPr>
          <w:color w:val="333333"/>
          <w:sz w:val="22"/>
        </w:rPr>
        <w:t>Informational.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App Service has a minimum number of instances for failover</w:t>
        <w:br/>
        <w:t>Resource: Microsoft.Web/sites.webApp</w:t>
      </w:r>
    </w:p>
    <w:p>
      <w:pPr>
        <w:pStyle w:val="Heading3"/>
      </w:pPr>
      <w:r>
        <w:t>CKV_AZURE_225: Ensure the App Service Plan is zone redundant</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Informational</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2</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CWE-693</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The App Service Plan should be configured for zone redundancy to ensure availability across Azure availability zones.</w:t>
      </w:r>
    </w:p>
    <w:p>
      <w:r>
        <w:rPr>
          <w:b/>
          <w:color w:val="333333"/>
        </w:rPr>
        <w:t>Affected Locations:</w:t>
      </w:r>
    </w:p>
    <w:p>
      <w:pPr>
        <w:pStyle w:val="ListBullet"/>
      </w:pPr>
      <w:r>
        <w:rPr>
          <w:rFonts w:ascii="Calibri" w:hAnsi="Calibri"/>
          <w:color w:val="333333"/>
          <w:sz w:val="22"/>
        </w:rPr>
        <w:t>infrastructure/modules/appserviceplan.bicep:7</w:t>
      </w:r>
    </w:p>
    <w:p>
      <w:pPr>
        <w:pStyle w:val="ListBullet"/>
      </w:pPr>
      <w:r>
        <w:rPr>
          <w:rFonts w:ascii="Calibri" w:hAnsi="Calibri"/>
          <w:color w:val="333333"/>
          <w:sz w:val="22"/>
        </w:rPr>
        <w:t>infrastructure/modules/functionapp.bicep:10</w:t>
      </w:r>
    </w:p>
    <w:p>
      <w:r>
        <w:rPr>
          <w:b/>
          <w:color w:val="333333"/>
        </w:rPr>
        <w:t xml:space="preserve">Risk Assessment: </w:t>
      </w:r>
      <w:r>
        <w:rPr>
          <w:color w:val="333333"/>
          <w:sz w:val="22"/>
        </w:rPr>
        <w:t>Informational.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the App Service Plan is zone redundant</w:t>
        <w:br/>
        <w:t>Resource: Microsoft.Web/serverfarms.appServicePlan</w:t>
      </w:r>
    </w:p>
    <w:p>
      <w:pPr>
        <w:pStyle w:val="Heading3"/>
      </w:pPr>
      <w:r>
        <w:t>CKV_AZURE_229: Ensure the Azure SQL Database Namespace is zone redundant</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Informational</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CWE-693</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The Azure SQL Database should be configured for zone redundancy to protect against datacenter-level failures.</w:t>
      </w:r>
    </w:p>
    <w:p>
      <w:r>
        <w:rPr>
          <w:b/>
          <w:color w:val="333333"/>
        </w:rPr>
        <w:t>Affected Locations:</w:t>
      </w:r>
    </w:p>
    <w:p>
      <w:pPr>
        <w:pStyle w:val="ListBullet"/>
      </w:pPr>
      <w:r>
        <w:rPr>
          <w:rFonts w:ascii="Calibri" w:hAnsi="Calibri"/>
          <w:color w:val="333333"/>
          <w:sz w:val="22"/>
        </w:rPr>
        <w:t>infrastructure/modules/database.bicep:33</w:t>
      </w:r>
    </w:p>
    <w:p>
      <w:r>
        <w:rPr>
          <w:b/>
          <w:color w:val="333333"/>
        </w:rPr>
        <w:t xml:space="preserve">Risk Assessment: </w:t>
      </w:r>
      <w:r>
        <w:rPr>
          <w:color w:val="333333"/>
          <w:sz w:val="22"/>
        </w:rPr>
        <w:t>Informational.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the Azure SQL Database Namespace is zone redundant</w:t>
        <w:br/>
        <w:t>Resource: Microsoft.Sql/servers/databases.sqlDatabase</w:t>
      </w:r>
    </w:p>
    <w:p>
      <w:pPr>
        <w:pStyle w:val="Heading3"/>
      </w:pPr>
      <w:r>
        <w:t>CKV_AZURE_43: Ensure Storage Accounts adhere to the naming rules</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Informational</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CWE-16</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The Storage Account name should follow Azure naming conventions and organizational naming standards.</w:t>
      </w:r>
    </w:p>
    <w:p>
      <w:r>
        <w:rPr>
          <w:b/>
          <w:color w:val="333333"/>
        </w:rPr>
        <w:t>Affected Locations:</w:t>
      </w:r>
    </w:p>
    <w:p>
      <w:pPr>
        <w:pStyle w:val="ListBullet"/>
      </w:pPr>
      <w:r>
        <w:rPr>
          <w:rFonts w:ascii="Calibri" w:hAnsi="Calibri"/>
          <w:color w:val="333333"/>
          <w:sz w:val="22"/>
        </w:rPr>
        <w:t>infrastructure/modules/storage.bicep:5</w:t>
      </w:r>
    </w:p>
    <w:p>
      <w:r>
        <w:rPr>
          <w:b/>
          <w:color w:val="333333"/>
        </w:rPr>
        <w:t xml:space="preserve">Risk Assessment: </w:t>
      </w:r>
      <w:r>
        <w:rPr>
          <w:color w:val="333333"/>
          <w:sz w:val="22"/>
        </w:rPr>
        <w:t>Informational. This is an infrastructure configuration recommendation from CIS benchmarks. The finding represents a best-practice hardening opportunity rather than an actively exploitable vulnerability. The risk should be evaluated against the platform's current deployment tier and cost constraints.</w:t>
      </w:r>
    </w:p>
    <w:p>
      <w:r>
        <w:rPr>
          <w:b/>
          <w:color w:val="333333"/>
        </w:rPr>
        <w:t xml:space="preserve">Remediation: </w:t>
      </w:r>
      <w:r>
        <w:rPr>
          <w:color w:val="333333"/>
          <w:sz w:val="22"/>
        </w:rPr>
        <w:t>Ensure Storage Accounts adhere to the naming rules</w:t>
        <w:br/>
        <w:t>Resource: Microsoft.Storage/storageAccounts.storageAccount</w:t>
      </w:r>
    </w:p>
    <w:p>
      <w:pPr>
        <w:pStyle w:val="Heading3"/>
      </w:pPr>
      <w:r>
        <w:t>zap-10049: Non-Storable Content</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Informational</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Note</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OWASP ZAP</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10</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CWE-524</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r>
        <w:tc>
          <w:tcPr>
            <w:tcW w:type="dxa" w:w="2592"/>
          </w:tcPr>
          <w:p>
            <w:r/>
            <w:r>
              <w:rPr>
                <w:rFonts w:ascii="Calibri" w:hAnsi="Calibri"/>
                <w:color w:val="333333"/>
                <w:sz w:val="20"/>
              </w:rPr>
              <w:t>Confidence</w:t>
            </w:r>
          </w:p>
        </w:tc>
        <w:tc>
          <w:tcPr>
            <w:tcW w:type="dxa" w:w="7200"/>
          </w:tcPr>
          <w:p>
            <w:r/>
            <w:r>
              <w:rPr>
                <w:rFonts w:ascii="Calibri" w:hAnsi="Calibri"/>
                <w:color w:val="333333"/>
                <w:sz w:val="20"/>
              </w:rPr>
              <w:t>Medium (60.0)</w:t>
            </w:r>
          </w:p>
        </w:tc>
      </w:tr>
    </w:tbl>
    <w:p/>
    <w:p>
      <w:r>
        <w:rPr>
          <w:b/>
          <w:color w:val="333333"/>
        </w:rPr>
        <w:t xml:space="preserve">Description: </w:t>
      </w:r>
      <w:r>
        <w:rPr>
          <w:color w:val="333333"/>
          <w:sz w:val="22"/>
        </w:rPr>
        <w:t>The response contents are not storable by caching components such as proxy servers. If the response does not contain sensitive, personal or user-specific information, it may benefit from being stored and cached, to improve performance.</w:t>
      </w:r>
    </w:p>
    <w:p>
      <w:r>
        <w:rPr>
          <w:b/>
          <w:color w:val="333333"/>
        </w:rPr>
        <w:t>Affected Locations:</w:t>
      </w:r>
    </w:p>
    <w:p>
      <w:pPr>
        <w:pStyle w:val="ListBullet"/>
      </w:pPr>
      <w:r>
        <w:rPr>
          <w:rFonts w:ascii="Calibri" w:hAnsi="Calibri"/>
          <w:color w:val="333333"/>
          <w:sz w:val="22"/>
        </w:rPr>
        <w:t>GET https://app-cadence-api-uat.azurewebsites.net</w:t>
      </w:r>
    </w:p>
    <w:p>
      <w:pPr>
        <w:pStyle w:val="ListBullet"/>
      </w:pPr>
      <w:r>
        <w:rPr>
          <w:rFonts w:ascii="Calibri" w:hAnsi="Calibri"/>
          <w:color w:val="333333"/>
          <w:sz w:val="22"/>
        </w:rPr>
        <w:t>GET https://app-cadence-api-uat.azurewebsites.net/</w:t>
      </w:r>
    </w:p>
    <w:p>
      <w:pPr>
        <w:pStyle w:val="ListBullet"/>
      </w:pPr>
      <w:r>
        <w:rPr>
          <w:rFonts w:ascii="Calibri" w:hAnsi="Calibri"/>
          <w:color w:val="333333"/>
          <w:sz w:val="22"/>
        </w:rPr>
        <w:t>GET https://app-cadence-api-uat.azurewebsites.net/favicon.ico</w:t>
      </w:r>
    </w:p>
    <w:p>
      <w:pPr>
        <w:pStyle w:val="ListBullet"/>
      </w:pPr>
      <w:r>
        <w:rPr>
          <w:rFonts w:ascii="Calibri" w:hAnsi="Calibri"/>
          <w:color w:val="333333"/>
          <w:sz w:val="22"/>
        </w:rPr>
        <w:t>GET https://app-cadence-api-uat.azurewebsites.net/robots.txt</w:t>
      </w:r>
    </w:p>
    <w:p>
      <w:pPr>
        <w:pStyle w:val="ListBullet"/>
      </w:pPr>
      <w:r>
        <w:rPr>
          <w:rFonts w:ascii="Calibri" w:hAnsi="Calibri"/>
          <w:color w:val="333333"/>
          <w:sz w:val="22"/>
        </w:rPr>
        <w:t>GET https://app-cadence-api-uat.azurewebsites.net/sitemap.xml</w:t>
      </w:r>
    </w:p>
    <w:p>
      <w:r>
        <w:rPr>
          <w:b/>
          <w:color w:val="333333"/>
        </w:rPr>
        <w:t xml:space="preserve">Risk Assessment: </w:t>
      </w:r>
      <w:r>
        <w:rPr>
          <w:color w:val="333333"/>
          <w:sz w:val="22"/>
        </w:rPr>
        <w:t>Informational. Content caching behavior is flagged because responses include an Authorization header requirement, which prevents caching by shared proxies. This is the expected and correct behavior for an authenticated API—API responses containing user-specific data should not be cached by intermediaries. No action required.</w:t>
      </w:r>
    </w:p>
    <w:p>
      <w:r>
        <w:rPr>
          <w:b/>
          <w:color w:val="333333"/>
        </w:rPr>
        <w:t xml:space="preserve">Remediation: </w:t>
      </w:r>
      <w:r>
        <w:rPr>
          <w:color w:val="333333"/>
          <w:sz w:val="22"/>
        </w:rPr>
        <w:t>No remediation required. The non-storable content behavior is correct for an authenticated API. Responses containing user-specific data should not be cached by shared proxies.</w:t>
      </w:r>
    </w:p>
    <w:p>
      <w:pPr>
        <w:pStyle w:val="Heading3"/>
      </w:pPr>
      <w:r>
        <w:t>zap-90005: Sec-Fetch-Dest Header is Missing</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Informational</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Note</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OWASP ZAP</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24</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CWE-352</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r>
        <w:tc>
          <w:tcPr>
            <w:tcW w:type="dxa" w:w="2592"/>
          </w:tcPr>
          <w:p>
            <w:r/>
            <w:r>
              <w:rPr>
                <w:rFonts w:ascii="Calibri" w:hAnsi="Calibri"/>
                <w:color w:val="333333"/>
                <w:sz w:val="20"/>
              </w:rPr>
              <w:t>Confidence</w:t>
            </w:r>
          </w:p>
        </w:tc>
        <w:tc>
          <w:tcPr>
            <w:tcW w:type="dxa" w:w="7200"/>
          </w:tcPr>
          <w:p>
            <w:r/>
            <w:r>
              <w:rPr>
                <w:rFonts w:ascii="Calibri" w:hAnsi="Calibri"/>
                <w:color w:val="333333"/>
                <w:sz w:val="20"/>
              </w:rPr>
              <w:t>High (90.0)</w:t>
            </w:r>
          </w:p>
        </w:tc>
      </w:tr>
    </w:tbl>
    <w:p/>
    <w:p>
      <w:r>
        <w:rPr>
          <w:b/>
          <w:color w:val="333333"/>
        </w:rPr>
        <w:t xml:space="preserve">Description: </w:t>
      </w:r>
      <w:r>
        <w:rPr>
          <w:color w:val="333333"/>
          <w:sz w:val="22"/>
        </w:rPr>
        <w:t>Specifies how and where the data would be used. For instance, if the value is audio, then the requested resource must be audio data and not any other type of resource.</w:t>
      </w:r>
    </w:p>
    <w:p>
      <w:r>
        <w:rPr>
          <w:b/>
          <w:color w:val="333333"/>
        </w:rPr>
        <w:t>Affected Locations:</w:t>
      </w:r>
    </w:p>
    <w:p>
      <w:pPr>
        <w:pStyle w:val="ListBullet"/>
      </w:pPr>
      <w:r>
        <w:rPr>
          <w:rFonts w:ascii="Calibri" w:hAnsi="Calibri"/>
          <w:color w:val="333333"/>
          <w:sz w:val="22"/>
        </w:rPr>
        <w:t>GET https://app-cadence-api-uat.azurewebsites.net</w:t>
      </w:r>
    </w:p>
    <w:p>
      <w:pPr>
        <w:pStyle w:val="ListBullet"/>
      </w:pPr>
      <w:r>
        <w:rPr>
          <w:rFonts w:ascii="Calibri" w:hAnsi="Calibri"/>
          <w:color w:val="333333"/>
          <w:sz w:val="22"/>
        </w:rPr>
        <w:t>GET https://app-cadence-api-uat.azurewebsites.net/robots.txt</w:t>
      </w:r>
    </w:p>
    <w:p>
      <w:pPr>
        <w:pStyle w:val="ListBullet"/>
      </w:pPr>
      <w:r>
        <w:rPr>
          <w:rFonts w:ascii="Calibri" w:hAnsi="Calibri"/>
          <w:color w:val="333333"/>
          <w:sz w:val="22"/>
        </w:rPr>
        <w:t>GET https://app-cadence-api-uat.azurewebsites.net/sitemap.xml</w:t>
      </w:r>
    </w:p>
    <w:p>
      <w:r>
        <w:rPr>
          <w:b/>
          <w:color w:val="333333"/>
        </w:rPr>
        <w:t xml:space="preserve">Risk Assessment: </w:t>
      </w:r>
      <w:r>
        <w:rPr>
          <w:color w:val="333333"/>
          <w:sz w:val="22"/>
        </w:rPr>
        <w:t>Informational. The Sec-Fetch-* headers (Dest, Mode, Site, User) are request-side headers sent by browsers to indicate the intent of a fetch request. Their absence in ZAP's scan requests is expected because ZAP is not a browser and does not send these headers. This finding reflects the scan tool's request behavior, not a server vulnerability. The server does not need to require these headers. No action required.</w:t>
      </w:r>
    </w:p>
    <w:p>
      <w:r>
        <w:rPr>
          <w:b/>
          <w:color w:val="333333"/>
        </w:rPr>
        <w:t xml:space="preserve">Remediation: </w:t>
      </w:r>
      <w:r>
        <w:rPr>
          <w:color w:val="333333"/>
          <w:sz w:val="22"/>
        </w:rPr>
        <w:t>No remediation required. Sec-Fetch-* headers are request-side browser headers, not server configuration. The ZAP scanner does not send these headers because it is not a browser.</w:t>
      </w:r>
    </w:p>
    <w:p>
      <w:pPr>
        <w:pStyle w:val="Heading2"/>
      </w:pPr>
      <w:r>
        <w:t>5.4 MITIGATED Risk Findings</w:t>
      </w:r>
    </w:p>
    <w:p>
      <w:pPr>
        <w:pStyle w:val="Heading3"/>
      </w:pPr>
      <w:r>
        <w:t>CKV_AZURE_19: Ensure that standard pricing tier is selected</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Mitigated</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CWE-693</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Azure Defender for Cloud should use the Standard pricing tier to enable advanced threat protection across resources.</w:t>
      </w:r>
    </w:p>
    <w:p>
      <w:r>
        <w:rPr>
          <w:b/>
          <w:color w:val="333333"/>
        </w:rPr>
        <w:t>Affected Locations:</w:t>
      </w:r>
    </w:p>
    <w:p>
      <w:pPr>
        <w:pStyle w:val="ListBullet"/>
      </w:pPr>
      <w:r>
        <w:rPr>
          <w:rFonts w:ascii="Calibri" w:hAnsi="Calibri"/>
          <w:color w:val="333333"/>
          <w:sz w:val="22"/>
        </w:rPr>
        <w:t>infrastructure/modules/defender.bicep:15</w:t>
      </w:r>
    </w:p>
    <w:p>
      <w:r>
        <w:rPr>
          <w:b/>
          <w:color w:val="333333"/>
        </w:rPr>
        <w:t xml:space="preserve">Risk Assessment: </w:t>
      </w:r>
      <w:r>
        <w:rPr>
          <w:color w:val="333333"/>
          <w:sz w:val="22"/>
        </w:rPr>
        <w:t>Mitigated. Defender for Cloud Standard pricing tier is enabled for SQL resources in defender.bicep. This provides advanced threat detection for Azure SQL databases including SQL injection detection, brute force attempts, and anomalous database access patterns.</w:t>
      </w:r>
    </w:p>
    <w:p>
      <w:r>
        <w:rPr>
          <w:b/>
          <w:color w:val="333333"/>
        </w:rPr>
        <w:t xml:space="preserve">Remediation: </w:t>
      </w:r>
      <w:r>
        <w:rPr>
          <w:color w:val="333333"/>
          <w:sz w:val="22"/>
        </w:rPr>
        <w:t>Remediated. Defender for Cloud Standard pricing tier enabled for SqlServers in defender.bicep via Microsoft.Security/pricings resource. Provides SQL-specific threat detection including SQL injection and brute force alerts.</w:t>
      </w:r>
    </w:p>
    <w:p>
      <w:pPr>
        <w:pStyle w:val="Heading3"/>
      </w:pPr>
      <w:r>
        <w:t>CKV_AZURE_23: Ensure that 'Auditing' is set to 'On' for SQL servers</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Mitigated</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2</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CWE-778</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A09:2025 (Logging &amp; Alerting Failures)</w:t>
            </w:r>
          </w:p>
        </w:tc>
      </w:tr>
    </w:tbl>
    <w:p/>
    <w:p>
      <w:r>
        <w:rPr>
          <w:b/>
          <w:color w:val="333333"/>
        </w:rPr>
        <w:t xml:space="preserve">Description: </w:t>
      </w:r>
      <w:r>
        <w:rPr>
          <w:color w:val="333333"/>
          <w:sz w:val="22"/>
        </w:rPr>
        <w:t>SQL Server auditing should be enabled to track database events and maintain an audit trail for compliance and security investigations.</w:t>
      </w:r>
    </w:p>
    <w:p>
      <w:r>
        <w:rPr>
          <w:b/>
          <w:color w:val="333333"/>
        </w:rPr>
        <w:t>Affected Locations:</w:t>
      </w:r>
    </w:p>
    <w:p>
      <w:pPr>
        <w:pStyle w:val="ListBullet"/>
      </w:pPr>
      <w:r>
        <w:rPr>
          <w:rFonts w:ascii="Calibri" w:hAnsi="Calibri"/>
          <w:color w:val="333333"/>
          <w:sz w:val="22"/>
        </w:rPr>
        <w:t>infrastructure/modules/database.bicep:13</w:t>
      </w:r>
    </w:p>
    <w:p>
      <w:pPr>
        <w:pStyle w:val="ListBullet"/>
      </w:pPr>
      <w:r>
        <w:rPr>
          <w:rFonts w:ascii="Calibri" w:hAnsi="Calibri"/>
          <w:color w:val="333333"/>
          <w:sz w:val="22"/>
        </w:rPr>
        <w:t>infrastructure/modules/database.bicep:33</w:t>
      </w:r>
    </w:p>
    <w:p>
      <w:r>
        <w:rPr>
          <w:b/>
          <w:color w:val="333333"/>
        </w:rPr>
        <w:t xml:space="preserve">Risk Assessment: </w:t>
      </w:r>
      <w:r>
        <w:rPr>
          <w:color w:val="333333"/>
          <w:sz w:val="22"/>
        </w:rPr>
        <w:t>Mitigated. SQL Server auditing is now enabled in the Bicep template with audit events sent to Log Analytics workspace. Covers authentication successes/failures and batch operations.</w:t>
      </w:r>
    </w:p>
    <w:p>
      <w:r>
        <w:rPr>
          <w:b/>
          <w:color w:val="333333"/>
        </w:rPr>
        <w:t xml:space="preserve">Remediation: </w:t>
      </w:r>
      <w:r>
        <w:rPr>
          <w:color w:val="333333"/>
          <w:sz w:val="22"/>
        </w:rPr>
        <w:t>Remediated. SQL Server auditing enabled in database.bicep with audit events sent to Log Analytics. Covers authentication successes/failures and batch operations with 90-day retention.</w:t>
      </w:r>
    </w:p>
    <w:p>
      <w:pPr>
        <w:pStyle w:val="Heading3"/>
      </w:pPr>
      <w:r>
        <w:t>CKV_AZURE_24: Ensure that 'Auditing' Retention is 'greater than 90 days' for SQL servers</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Mitigated</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CWE-778</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A09:2025 (Logging &amp; Alerting Failures)</w:t>
            </w:r>
          </w:p>
        </w:tc>
      </w:tr>
    </w:tbl>
    <w:p/>
    <w:p>
      <w:r>
        <w:rPr>
          <w:b/>
          <w:color w:val="333333"/>
        </w:rPr>
        <w:t xml:space="preserve">Description: </w:t>
      </w:r>
      <w:r>
        <w:rPr>
          <w:color w:val="333333"/>
          <w:sz w:val="22"/>
        </w:rPr>
        <w:t>SQL Server auditing retention should be configured for at least 90 days to meet compliance requirements and enable forensic analysis.</w:t>
      </w:r>
    </w:p>
    <w:p>
      <w:r>
        <w:rPr>
          <w:b/>
          <w:color w:val="333333"/>
        </w:rPr>
        <w:t>Affected Locations:</w:t>
      </w:r>
    </w:p>
    <w:p>
      <w:pPr>
        <w:pStyle w:val="ListBullet"/>
      </w:pPr>
      <w:r>
        <w:rPr>
          <w:rFonts w:ascii="Calibri" w:hAnsi="Calibri"/>
          <w:color w:val="333333"/>
          <w:sz w:val="22"/>
        </w:rPr>
        <w:t>infrastructure/modules/database.bicep:13</w:t>
      </w:r>
    </w:p>
    <w:p>
      <w:r>
        <w:rPr>
          <w:b/>
          <w:color w:val="333333"/>
        </w:rPr>
        <w:t xml:space="preserve">Risk Assessment: </w:t>
      </w:r>
      <w:r>
        <w:rPr>
          <w:color w:val="333333"/>
          <w:sz w:val="22"/>
        </w:rPr>
        <w:t>Mitigated. SQL Server audit retention is now configured to 90 days in the Bicep template, meeting compliance requirements for post-incident investigation.</w:t>
      </w:r>
    </w:p>
    <w:p>
      <w:r>
        <w:rPr>
          <w:b/>
          <w:color w:val="333333"/>
        </w:rPr>
        <w:t xml:space="preserve">Remediation: </w:t>
      </w:r>
      <w:r>
        <w:rPr>
          <w:color w:val="333333"/>
          <w:sz w:val="22"/>
        </w:rPr>
        <w:t>Remediated. SQL Server audit retention set to 90 days in the auditingSettings resource.</w:t>
      </w:r>
    </w:p>
    <w:p>
      <w:pPr>
        <w:pStyle w:val="Heading3"/>
      </w:pPr>
      <w:r>
        <w:t>CKV_AZURE_25: Azure SQL Server threat detection alerts are enabled for all threat types</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Mitigated</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2</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CWE-778</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A09:2025 (Logging &amp; Alerting Failures)</w:t>
            </w:r>
          </w:p>
        </w:tc>
      </w:tr>
    </w:tbl>
    <w:p/>
    <w:p>
      <w:r>
        <w:rPr>
          <w:b/>
          <w:color w:val="333333"/>
        </w:rPr>
        <w:t xml:space="preserve">Description: </w:t>
      </w:r>
      <w:r>
        <w:rPr>
          <w:color w:val="333333"/>
          <w:sz w:val="22"/>
        </w:rPr>
        <w:t>SQL Server threat detection should enable alerts for all threat types including SQL injection, brute force, and anomalous access.</w:t>
      </w:r>
    </w:p>
    <w:p>
      <w:r>
        <w:rPr>
          <w:b/>
          <w:color w:val="333333"/>
        </w:rPr>
        <w:t>Affected Locations:</w:t>
      </w:r>
    </w:p>
    <w:p>
      <w:pPr>
        <w:pStyle w:val="ListBullet"/>
      </w:pPr>
      <w:r>
        <w:rPr>
          <w:rFonts w:ascii="Calibri" w:hAnsi="Calibri"/>
          <w:color w:val="333333"/>
          <w:sz w:val="22"/>
        </w:rPr>
        <w:t>infrastructure/modules/database.bicep:13</w:t>
      </w:r>
    </w:p>
    <w:p>
      <w:pPr>
        <w:pStyle w:val="ListBullet"/>
      </w:pPr>
      <w:r>
        <w:rPr>
          <w:rFonts w:ascii="Calibri" w:hAnsi="Calibri"/>
          <w:color w:val="333333"/>
          <w:sz w:val="22"/>
        </w:rPr>
        <w:t>infrastructure/modules/database.bicep:33</w:t>
      </w:r>
    </w:p>
    <w:p>
      <w:r>
        <w:rPr>
          <w:b/>
          <w:color w:val="333333"/>
        </w:rPr>
        <w:t xml:space="preserve">Risk Assessment: </w:t>
      </w:r>
      <w:r>
        <w:rPr>
          <w:color w:val="333333"/>
          <w:sz w:val="22"/>
        </w:rPr>
        <w:t>Mitigated. SQL Server Advanced Threat Protection is now enabled with all alert types active and email notifications to database administrators configured in the Bicep template.</w:t>
      </w:r>
    </w:p>
    <w:p>
      <w:r>
        <w:rPr>
          <w:b/>
          <w:color w:val="333333"/>
        </w:rPr>
        <w:t xml:space="preserve">Remediation: </w:t>
      </w:r>
      <w:r>
        <w:rPr>
          <w:color w:val="333333"/>
          <w:sz w:val="22"/>
        </w:rPr>
        <w:t>Remediated. SQL Server Advanced Threat Protection enabled with all alert types active and email notifications to database administrators in the securityAlertPolicies resource.</w:t>
      </w:r>
    </w:p>
    <w:p>
      <w:pPr>
        <w:pStyle w:val="Heading3"/>
      </w:pPr>
      <w:r>
        <w:t>CKV_AZURE_35: Ensure default network access rule for Storage Accounts is set to deny</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Mitigated</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CWE-284</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The Storage Account default network access rule should be set to Deny, with explicit allow rules for trusted networks only.</w:t>
      </w:r>
    </w:p>
    <w:p>
      <w:r>
        <w:rPr>
          <w:b/>
          <w:color w:val="333333"/>
        </w:rPr>
        <w:t>Affected Locations:</w:t>
      </w:r>
    </w:p>
    <w:p>
      <w:pPr>
        <w:pStyle w:val="ListBullet"/>
      </w:pPr>
      <w:r>
        <w:rPr>
          <w:rFonts w:ascii="Calibri" w:hAnsi="Calibri"/>
          <w:color w:val="333333"/>
          <w:sz w:val="22"/>
        </w:rPr>
        <w:t>infrastructure/modules/storage.bicep:5</w:t>
      </w:r>
    </w:p>
    <w:p>
      <w:r>
        <w:rPr>
          <w:b/>
          <w:color w:val="333333"/>
        </w:rPr>
        <w:t xml:space="preserve">Risk Assessment: </w:t>
      </w:r>
      <w:r>
        <w:rPr>
          <w:color w:val="333333"/>
          <w:sz w:val="22"/>
        </w:rPr>
        <w:t>Mitigated. The Storage Account networkAcls are now configured with defaultAction: 'Deny' and bypass: 'AzureServices' in the Bicep template. Only Azure-trusted services can access the storage account.</w:t>
      </w:r>
    </w:p>
    <w:p>
      <w:r>
        <w:rPr>
          <w:b/>
          <w:color w:val="333333"/>
        </w:rPr>
        <w:t xml:space="preserve">Remediation: </w:t>
      </w:r>
      <w:r>
        <w:rPr>
          <w:color w:val="333333"/>
          <w:sz w:val="22"/>
        </w:rPr>
        <w:t>Remediated. Storage Account networkAcls configured with defaultAction: 'Deny' and bypass: 'AzureServices' in storage.bicep. Only Azure-trusted services (App Service, Functions) can access the storage account.</w:t>
      </w:r>
    </w:p>
    <w:p>
      <w:pPr>
        <w:pStyle w:val="Heading3"/>
      </w:pPr>
      <w:r>
        <w:t>CKV_AZURE_71: Ensure that Managed identity provider is enabled for web apps</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Mitigated</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CWE-306</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A07:2025 (Authentication Failures)</w:t>
            </w:r>
          </w:p>
        </w:tc>
      </w:tr>
    </w:tbl>
    <w:p/>
    <w:p>
      <w:r>
        <w:rPr>
          <w:b/>
          <w:color w:val="333333"/>
        </w:rPr>
        <w:t xml:space="preserve">Description: </w:t>
      </w:r>
      <w:r>
        <w:rPr>
          <w:color w:val="333333"/>
          <w:sz w:val="22"/>
        </w:rPr>
        <w:t>The web application should use a managed identity (system-assigned or user-assigned) instead of credentials for authenticating to Azure services.</w:t>
      </w:r>
    </w:p>
    <w:p>
      <w:r>
        <w:rPr>
          <w:b/>
          <w:color w:val="333333"/>
        </w:rPr>
        <w:t>Affected Locations:</w:t>
      </w:r>
    </w:p>
    <w:p>
      <w:pPr>
        <w:pStyle w:val="ListBullet"/>
      </w:pPr>
      <w:r>
        <w:rPr>
          <w:rFonts w:ascii="Calibri" w:hAnsi="Calibri"/>
          <w:color w:val="333333"/>
          <w:sz w:val="22"/>
        </w:rPr>
        <w:t>infrastructure/modules/webapp.bicep:24</w:t>
      </w:r>
    </w:p>
    <w:p>
      <w:r>
        <w:rPr>
          <w:b/>
          <w:color w:val="333333"/>
        </w:rPr>
        <w:t xml:space="preserve">Risk Assessment: </w:t>
      </w:r>
      <w:r>
        <w:rPr>
          <w:color w:val="333333"/>
          <w:sz w:val="22"/>
        </w:rPr>
        <w:t>Mitigated. The App Service now has a SystemAssigned managed identity configured in the Bicep template. The identity is granted Key Vault Secrets User role for credential-free secret access.</w:t>
      </w:r>
    </w:p>
    <w:p>
      <w:r>
        <w:rPr>
          <w:b/>
          <w:color w:val="333333"/>
        </w:rPr>
        <w:t xml:space="preserve">Remediation: </w:t>
      </w:r>
      <w:r>
        <w:rPr>
          <w:color w:val="333333"/>
          <w:sz w:val="22"/>
        </w:rPr>
        <w:t>Remediated. SystemAssigned managed identity enabled on the App Service in webapp.bicep. The identity is granted Key Vault Secrets User role via RBAC role assignment in keyvault.bicep.</w:t>
      </w:r>
    </w:p>
    <w:p>
      <w:pPr>
        <w:pStyle w:val="Heading3"/>
      </w:pPr>
      <w:r>
        <w:t>CKV_AZURE_84: Ensure that Azure Defender is set to On for Storage</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Mitigated</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CWE-693</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Azure Defender for Storage should be enabled to detect unusual and potentially harmful access or exploitation attempts.</w:t>
      </w:r>
    </w:p>
    <w:p>
      <w:r>
        <w:rPr>
          <w:b/>
          <w:color w:val="333333"/>
        </w:rPr>
        <w:t>Affected Locations:</w:t>
      </w:r>
    </w:p>
    <w:p>
      <w:pPr>
        <w:pStyle w:val="ListBullet"/>
      </w:pPr>
      <w:r>
        <w:rPr>
          <w:rFonts w:ascii="Calibri" w:hAnsi="Calibri"/>
          <w:color w:val="333333"/>
          <w:sz w:val="22"/>
        </w:rPr>
        <w:t>infrastructure/modules/defender.bicep:15</w:t>
      </w:r>
    </w:p>
    <w:p>
      <w:r>
        <w:rPr>
          <w:b/>
          <w:color w:val="333333"/>
        </w:rPr>
        <w:t xml:space="preserve">Risk Assessment: </w:t>
      </w:r>
      <w:r>
        <w:rPr>
          <w:color w:val="333333"/>
          <w:sz w:val="22"/>
        </w:rPr>
        <w:t>Mitigated. Defender for Storage Standard tier (DefenderForStorageV2) is enabled in defender.bicep. This provides threat detection for blob storage including anomalous access patterns, potential data exfiltration, and suspicious upload activity.</w:t>
      </w:r>
    </w:p>
    <w:p>
      <w:r>
        <w:rPr>
          <w:b/>
          <w:color w:val="333333"/>
        </w:rPr>
        <w:t xml:space="preserve">Remediation: </w:t>
      </w:r>
      <w:r>
        <w:rPr>
          <w:color w:val="333333"/>
          <w:sz w:val="22"/>
        </w:rPr>
        <w:t>Remediated. Defender for Storage Standard tier (DefenderForStorageV2) enabled in defender.bicep via Microsoft.Security/defenderForStorageSettings resource. Provides real-time threat detection for blob storage operations.</w:t>
      </w:r>
    </w:p>
    <w:p>
      <w:pPr>
        <w:pStyle w:val="Heading3"/>
      </w:pPr>
      <w:r>
        <w:t>CKV_AZURE_87: Ensure that Azure Defender is set to On for Key Vault</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Mitigated</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Error</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Checkov</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1</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CWE-693</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A02:2025 (Security Misconfiguration)</w:t>
            </w:r>
          </w:p>
        </w:tc>
      </w:tr>
    </w:tbl>
    <w:p/>
    <w:p>
      <w:r>
        <w:rPr>
          <w:b/>
          <w:color w:val="333333"/>
        </w:rPr>
        <w:t xml:space="preserve">Description: </w:t>
      </w:r>
      <w:r>
        <w:rPr>
          <w:color w:val="333333"/>
          <w:sz w:val="22"/>
        </w:rPr>
        <w:t>Azure Defender for Key Vault should be enabled to detect unusual access patterns and potential compromise of secrets.</w:t>
      </w:r>
    </w:p>
    <w:p>
      <w:r>
        <w:rPr>
          <w:b/>
          <w:color w:val="333333"/>
        </w:rPr>
        <w:t>Affected Locations:</w:t>
      </w:r>
    </w:p>
    <w:p>
      <w:pPr>
        <w:pStyle w:val="ListBullet"/>
      </w:pPr>
      <w:r>
        <w:rPr>
          <w:rFonts w:ascii="Calibri" w:hAnsi="Calibri"/>
          <w:color w:val="333333"/>
          <w:sz w:val="22"/>
        </w:rPr>
        <w:t>infrastructure/modules/defender.bicep:15</w:t>
      </w:r>
    </w:p>
    <w:p>
      <w:r>
        <w:rPr>
          <w:b/>
          <w:color w:val="333333"/>
        </w:rPr>
        <w:t xml:space="preserve">Risk Assessment: </w:t>
      </w:r>
      <w:r>
        <w:rPr>
          <w:color w:val="333333"/>
          <w:sz w:val="22"/>
        </w:rPr>
        <w:t>Mitigated. Defender for Key Vault Standard tier is enabled in defender.bicep. This monitors Key Vault access for unusual patterns including unauthorized access attempts and suspicious secret retrieval activity.</w:t>
      </w:r>
    </w:p>
    <w:p>
      <w:r>
        <w:rPr>
          <w:b/>
          <w:color w:val="333333"/>
        </w:rPr>
        <w:t xml:space="preserve">Remediation: </w:t>
      </w:r>
      <w:r>
        <w:rPr>
          <w:color w:val="333333"/>
          <w:sz w:val="22"/>
        </w:rPr>
        <w:t>Remediated. Defender for Key Vault Standard tier enabled in defender.bicep via Microsoft.Security/pricings resource. Monitors vault access patterns and alerts on suspicious activity.</w:t>
      </w:r>
    </w:p>
    <w:p>
      <w:pPr>
        <w:pStyle w:val="Heading3"/>
      </w:pPr>
      <w:r>
        <w:t>zap-10035: Strict-Transport-Security Header Not Set</w:t>
      </w:r>
    </w:p>
    <w:tbl>
      <w:tblPr>
        <w:tblStyle w:val="TableGrid"/>
        <w:tblW w:type="auto" w:w="0"/>
        <w:jc w:val="center"/>
        <w:tblLook w:firstColumn="1" w:firstRow="1" w:lastColumn="0" w:lastRow="0" w:noHBand="0" w:noVBand="1" w:val="04A0"/>
      </w:tblPr>
      <w:tblGrid>
        <w:gridCol w:w="4680"/>
        <w:gridCol w:w="4680"/>
      </w:tblGrid>
      <w:tr>
        <w:tc>
          <w:tcPr>
            <w:tcW w:type="dxa" w:w="2592"/>
            <w:shd w:fill="1E3A5F"/>
          </w:tcPr>
          <w:p>
            <w:pPr>
              <w:jc w:val="left"/>
            </w:pPr>
            <w:r/>
            <w:r>
              <w:rPr>
                <w:rFonts w:ascii="Calibri" w:hAnsi="Calibri"/>
                <w:b/>
                <w:color w:val="FFFFFF"/>
                <w:sz w:val="20"/>
              </w:rPr>
              <w:t>Property</w:t>
            </w:r>
          </w:p>
        </w:tc>
        <w:tc>
          <w:tcPr>
            <w:tcW w:type="dxa" w:w="7200"/>
            <w:shd w:fill="1E3A5F"/>
          </w:tcPr>
          <w:p>
            <w:pPr>
              <w:jc w:val="left"/>
            </w:pPr>
            <w:r/>
            <w:r>
              <w:rPr>
                <w:rFonts w:ascii="Calibri" w:hAnsi="Calibri"/>
                <w:b/>
                <w:color w:val="FFFFFF"/>
                <w:sz w:val="20"/>
              </w:rPr>
              <w:t>Value</w:t>
            </w:r>
          </w:p>
        </w:tc>
      </w:tr>
      <w:tr>
        <w:tc>
          <w:tcPr>
            <w:tcW w:type="dxa" w:w="2592"/>
          </w:tcPr>
          <w:p>
            <w:r/>
            <w:r>
              <w:rPr>
                <w:rFonts w:ascii="Calibri" w:hAnsi="Calibri"/>
                <w:color w:val="333333"/>
                <w:sz w:val="20"/>
              </w:rPr>
              <w:t>Assessed Risk</w:t>
            </w:r>
          </w:p>
        </w:tc>
        <w:tc>
          <w:tcPr>
            <w:tcW w:type="dxa" w:w="7200"/>
          </w:tcPr>
          <w:p>
            <w:r/>
            <w:r>
              <w:rPr>
                <w:rFonts w:ascii="Calibri" w:hAnsi="Calibri"/>
                <w:color w:val="333333"/>
                <w:sz w:val="20"/>
              </w:rPr>
              <w:t>Mitigated</w:t>
            </w:r>
          </w:p>
        </w:tc>
      </w:tr>
      <w:tr>
        <w:tc>
          <w:tcPr>
            <w:tcW w:type="dxa" w:w="2592"/>
            <w:shd w:fill="F5F5F5"/>
          </w:tcPr>
          <w:p>
            <w:r/>
            <w:r>
              <w:rPr>
                <w:rFonts w:ascii="Calibri" w:hAnsi="Calibri"/>
                <w:color w:val="333333"/>
                <w:sz w:val="20"/>
              </w:rPr>
              <w:t>Tool Severity</w:t>
            </w:r>
          </w:p>
        </w:tc>
        <w:tc>
          <w:tcPr>
            <w:tcW w:type="dxa" w:w="7200"/>
            <w:shd w:fill="F5F5F5"/>
          </w:tcPr>
          <w:p>
            <w:r/>
            <w:r>
              <w:rPr>
                <w:rFonts w:ascii="Calibri" w:hAnsi="Calibri"/>
                <w:color w:val="333333"/>
                <w:sz w:val="20"/>
              </w:rPr>
              <w:t>Warning</w:t>
            </w:r>
          </w:p>
        </w:tc>
      </w:tr>
      <w:tr>
        <w:tc>
          <w:tcPr>
            <w:tcW w:type="dxa" w:w="2592"/>
          </w:tcPr>
          <w:p>
            <w:r/>
            <w:r>
              <w:rPr>
                <w:rFonts w:ascii="Calibri" w:hAnsi="Calibri"/>
                <w:color w:val="333333"/>
                <w:sz w:val="20"/>
              </w:rPr>
              <w:t>Tool</w:t>
            </w:r>
          </w:p>
        </w:tc>
        <w:tc>
          <w:tcPr>
            <w:tcW w:type="dxa" w:w="7200"/>
          </w:tcPr>
          <w:p>
            <w:r/>
            <w:r>
              <w:rPr>
                <w:rFonts w:ascii="Calibri" w:hAnsi="Calibri"/>
                <w:color w:val="333333"/>
                <w:sz w:val="20"/>
              </w:rPr>
              <w:t>OWASP ZAP</w:t>
            </w:r>
          </w:p>
        </w:tc>
      </w:tr>
      <w:tr>
        <w:tc>
          <w:tcPr>
            <w:tcW w:type="dxa" w:w="2592"/>
            <w:shd w:fill="F5F5F5"/>
          </w:tcPr>
          <w:p>
            <w:r/>
            <w:r>
              <w:rPr>
                <w:rFonts w:ascii="Calibri" w:hAnsi="Calibri"/>
                <w:color w:val="333333"/>
                <w:sz w:val="20"/>
              </w:rPr>
              <w:t>Instances</w:t>
            </w:r>
          </w:p>
        </w:tc>
        <w:tc>
          <w:tcPr>
            <w:tcW w:type="dxa" w:w="7200"/>
            <w:shd w:fill="F5F5F5"/>
          </w:tcPr>
          <w:p>
            <w:r/>
            <w:r>
              <w:rPr>
                <w:rFonts w:ascii="Calibri" w:hAnsi="Calibri"/>
                <w:color w:val="333333"/>
                <w:sz w:val="20"/>
              </w:rPr>
              <w:t>6</w:t>
            </w:r>
          </w:p>
        </w:tc>
      </w:tr>
      <w:tr>
        <w:tc>
          <w:tcPr>
            <w:tcW w:type="dxa" w:w="2592"/>
          </w:tcPr>
          <w:p>
            <w:r/>
            <w:r>
              <w:rPr>
                <w:rFonts w:ascii="Calibri" w:hAnsi="Calibri"/>
                <w:color w:val="333333"/>
                <w:sz w:val="20"/>
              </w:rPr>
              <w:t>CWE</w:t>
            </w:r>
          </w:p>
        </w:tc>
        <w:tc>
          <w:tcPr>
            <w:tcW w:type="dxa" w:w="7200"/>
          </w:tcPr>
          <w:p>
            <w:r/>
            <w:r>
              <w:rPr>
                <w:rFonts w:ascii="Calibri" w:hAnsi="Calibri"/>
                <w:color w:val="333333"/>
                <w:sz w:val="20"/>
              </w:rPr>
              <w:t>CWE-319</w:t>
            </w:r>
          </w:p>
        </w:tc>
      </w:tr>
      <w:tr>
        <w:tc>
          <w:tcPr>
            <w:tcW w:type="dxa" w:w="2592"/>
            <w:shd w:fill="F5F5F5"/>
          </w:tcPr>
          <w:p>
            <w:r/>
            <w:r>
              <w:rPr>
                <w:rFonts w:ascii="Calibri" w:hAnsi="Calibri"/>
                <w:color w:val="333333"/>
                <w:sz w:val="20"/>
              </w:rPr>
              <w:t>OWASP Category</w:t>
            </w:r>
          </w:p>
        </w:tc>
        <w:tc>
          <w:tcPr>
            <w:tcW w:type="dxa" w:w="7200"/>
            <w:shd w:fill="F5F5F5"/>
          </w:tcPr>
          <w:p>
            <w:r/>
            <w:r>
              <w:rPr>
                <w:rFonts w:ascii="Calibri" w:hAnsi="Calibri"/>
                <w:color w:val="333333"/>
                <w:sz w:val="20"/>
              </w:rPr>
              <w:t>A04:2025 (Cryptographic Failures)</w:t>
            </w:r>
          </w:p>
        </w:tc>
      </w:tr>
      <w:tr>
        <w:tc>
          <w:tcPr>
            <w:tcW w:type="dxa" w:w="2592"/>
          </w:tcPr>
          <w:p>
            <w:r/>
            <w:r>
              <w:rPr>
                <w:rFonts w:ascii="Calibri" w:hAnsi="Calibri"/>
                <w:color w:val="333333"/>
                <w:sz w:val="20"/>
              </w:rPr>
              <w:t>Confidence</w:t>
            </w:r>
          </w:p>
        </w:tc>
        <w:tc>
          <w:tcPr>
            <w:tcW w:type="dxa" w:w="7200"/>
          </w:tcPr>
          <w:p>
            <w:r/>
            <w:r>
              <w:rPr>
                <w:rFonts w:ascii="Calibri" w:hAnsi="Calibri"/>
                <w:color w:val="333333"/>
                <w:sz w:val="20"/>
              </w:rPr>
              <w:t>High (90.0)</w:t>
            </w:r>
          </w:p>
        </w:tc>
      </w:tr>
    </w:tbl>
    <w:p/>
    <w:p>
      <w:r>
        <w:rPr>
          <w:b/>
          <w:color w:val="333333"/>
        </w:rPr>
        <w:t xml:space="preserve">Description: </w:t>
      </w:r>
      <w:r>
        <w:rPr>
          <w:color w:val="333333"/>
          <w:sz w:val="22"/>
        </w:rPr>
        <w:t>HTTP Strict Transport Security (HSTS) is a web security policy mechanism whereby a web server declares that complying user agents (such as a web browser) are to interact with it using only secure HTTPS connections (i.e. HTTP layered over TLS/SSL). HSTS is an IETF standards track protocol and is specified in RFC 6797.</w:t>
      </w:r>
    </w:p>
    <w:p>
      <w:r>
        <w:rPr>
          <w:b/>
          <w:color w:val="333333"/>
        </w:rPr>
        <w:t>Affected Locations:</w:t>
      </w:r>
    </w:p>
    <w:p>
      <w:pPr>
        <w:pStyle w:val="ListBullet"/>
      </w:pPr>
      <w:r>
        <w:rPr>
          <w:rFonts w:ascii="Calibri" w:hAnsi="Calibri"/>
          <w:color w:val="333333"/>
          <w:sz w:val="22"/>
        </w:rPr>
        <w:t>GET https://app-cadence-api-uat.azurewebsites.net/favicon.ico</w:t>
      </w:r>
    </w:p>
    <w:p>
      <w:pPr>
        <w:pStyle w:val="ListBullet"/>
      </w:pPr>
      <w:r>
        <w:rPr>
          <w:rFonts w:ascii="Calibri" w:hAnsi="Calibri"/>
          <w:color w:val="333333"/>
          <w:sz w:val="22"/>
        </w:rPr>
        <w:t>GET https://app-cadence-api-uat.azurewebsites.net/robots.txt</w:t>
      </w:r>
    </w:p>
    <w:p>
      <w:pPr>
        <w:pStyle w:val="ListBullet"/>
      </w:pPr>
      <w:r>
        <w:rPr>
          <w:rFonts w:ascii="Calibri" w:hAnsi="Calibri"/>
          <w:color w:val="333333"/>
          <w:sz w:val="22"/>
        </w:rPr>
        <w:t>GET https://app-cadence-api-uat.azurewebsites.net</w:t>
      </w:r>
    </w:p>
    <w:p>
      <w:pPr>
        <w:pStyle w:val="ListBullet"/>
      </w:pPr>
      <w:r>
        <w:rPr>
          <w:rFonts w:ascii="Calibri" w:hAnsi="Calibri"/>
          <w:color w:val="333333"/>
          <w:sz w:val="22"/>
        </w:rPr>
        <w:t>GET https://app-cadence-api-uat.azurewebsites.net/</w:t>
      </w:r>
    </w:p>
    <w:p>
      <w:pPr>
        <w:pStyle w:val="ListBullet"/>
      </w:pPr>
      <w:r>
        <w:rPr>
          <w:rFonts w:ascii="Calibri" w:hAnsi="Calibri"/>
          <w:color w:val="333333"/>
          <w:sz w:val="22"/>
        </w:rPr>
        <w:t>GET https://app-cadence-api-uat.azurewebsites.net/sitemap.xml</w:t>
      </w:r>
    </w:p>
    <w:p>
      <w:r>
        <w:rPr>
          <w:b/>
          <w:color w:val="333333"/>
        </w:rPr>
        <w:t xml:space="preserve">Risk Assessment: </w:t>
      </w:r>
      <w:r>
        <w:rPr>
          <w:color w:val="333333"/>
          <w:sz w:val="22"/>
        </w:rPr>
        <w:t>Mitigated. The Strict-Transport-Security (HSTS) header is now configured in ASP.NET Core middleware with max-age=31536000 (1 year) and includeSubDomains. This prevents SSL stripping attacks and protocol downgrade attacks on first connection.</w:t>
      </w:r>
    </w:p>
    <w:p>
      <w:r>
        <w:rPr>
          <w:b/>
          <w:color w:val="333333"/>
        </w:rPr>
        <w:t xml:space="preserve">Remediation: </w:t>
      </w:r>
      <w:r>
        <w:rPr>
          <w:color w:val="333333"/>
          <w:sz w:val="22"/>
        </w:rPr>
        <w:t>Remediated. HSTS middleware (app.UseHsts()) added to Program.cs with max-age=31536000 and includeSubDomains. Applied in non-Development environments only.</w:t>
      </w:r>
    </w:p>
    <w:p>
      <w:r>
        <w:br w:type="page"/>
      </w:r>
    </w:p>
    <w:p>
      <w:pPr>
        <w:pStyle w:val="Heading1"/>
      </w:pPr>
      <w:r>
        <w:t>6. Risk Assessment Matrix</w:t>
      </w:r>
    </w:p>
    <w:p>
      <w:r>
        <w:rPr>
          <w:rFonts w:ascii="Calibri" w:hAnsi="Calibri"/>
          <w:color w:val="333333"/>
          <w:sz w:val="22"/>
        </w:rPr>
        <w:t>The following matrix classifies each finding based on its real-world risk in the context of the Cadence platform. Risk classification considers exploitability, blast radius, multi-tenancy implications, and existing mitigating controls. Many findings flagged as 'error' by IaC scanning tools represent best-practice configuration recommendations rather than actively exploitable vulnerabilities.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E3A5F"/>
          </w:tcPr>
          <w:p>
            <w:pPr>
              <w:jc w:val="left"/>
            </w:pPr>
            <w:r/>
            <w:r>
              <w:rPr>
                <w:rFonts w:ascii="Calibri" w:hAnsi="Calibri"/>
                <w:b/>
                <w:color w:val="FFFFFF"/>
                <w:sz w:val="20"/>
              </w:rPr>
              <w:t>Risk Level</w:t>
            </w:r>
          </w:p>
        </w:tc>
        <w:tc>
          <w:tcPr>
            <w:tcW w:type="dxa" w:w="3600"/>
            <w:shd w:fill="1E3A5F"/>
          </w:tcPr>
          <w:p>
            <w:pPr>
              <w:jc w:val="left"/>
            </w:pPr>
            <w:r/>
            <w:r>
              <w:rPr>
                <w:rFonts w:ascii="Calibri" w:hAnsi="Calibri"/>
                <w:b/>
                <w:color w:val="FFFFFF"/>
                <w:sz w:val="20"/>
              </w:rPr>
              <w:t>Definition</w:t>
            </w:r>
          </w:p>
        </w:tc>
        <w:tc>
          <w:tcPr>
            <w:tcW w:type="dxa" w:w="864"/>
            <w:shd w:fill="1E3A5F"/>
          </w:tcPr>
          <w:p>
            <w:pPr>
              <w:jc w:val="left"/>
            </w:pPr>
            <w:r/>
            <w:r>
              <w:rPr>
                <w:rFonts w:ascii="Calibri" w:hAnsi="Calibri"/>
                <w:b/>
                <w:color w:val="FFFFFF"/>
                <w:sz w:val="20"/>
              </w:rPr>
              <w:t>Count</w:t>
            </w:r>
          </w:p>
        </w:tc>
        <w:tc>
          <w:tcPr>
            <w:tcW w:type="dxa" w:w="3600"/>
            <w:shd w:fill="1E3A5F"/>
          </w:tcPr>
          <w:p>
            <w:pPr>
              <w:jc w:val="left"/>
            </w:pPr>
            <w:r/>
            <w:r>
              <w:rPr>
                <w:rFonts w:ascii="Calibri" w:hAnsi="Calibri"/>
                <w:b/>
                <w:color w:val="FFFFFF"/>
                <w:sz w:val="20"/>
              </w:rPr>
              <w:t>Findings</w:t>
            </w:r>
          </w:p>
        </w:tc>
      </w:tr>
      <w:tr>
        <w:tc>
          <w:tcPr>
            <w:tcW w:type="dxa" w:w="1728"/>
          </w:tcPr>
          <w:p>
            <w:r/>
            <w:r>
              <w:rPr>
                <w:rFonts w:ascii="Calibri" w:hAnsi="Calibri"/>
                <w:color w:val="333333"/>
                <w:sz w:val="20"/>
              </w:rPr>
              <w:t>Critical</w:t>
            </w:r>
          </w:p>
        </w:tc>
        <w:tc>
          <w:tcPr>
            <w:tcW w:type="dxa" w:w="3600"/>
          </w:tcPr>
          <w:p>
            <w:r/>
            <w:r>
              <w:rPr>
                <w:rFonts w:ascii="Calibri" w:hAnsi="Calibri"/>
                <w:color w:val="333333"/>
                <w:sz w:val="20"/>
              </w:rPr>
              <w:t>Immediate action required. Actively exploitable vulnerability with high impact.</w:t>
            </w:r>
          </w:p>
        </w:tc>
        <w:tc>
          <w:tcPr>
            <w:tcW w:type="dxa" w:w="864"/>
          </w:tcPr>
          <w:p>
            <w:r/>
            <w:r>
              <w:rPr>
                <w:rFonts w:ascii="Calibri" w:hAnsi="Calibri"/>
                <w:color w:val="333333"/>
                <w:sz w:val="20"/>
              </w:rPr>
              <w:t>0</w:t>
            </w:r>
          </w:p>
        </w:tc>
        <w:tc>
          <w:tcPr>
            <w:tcW w:type="dxa" w:w="3600"/>
          </w:tcPr>
          <w:p>
            <w:r/>
            <w:r>
              <w:rPr>
                <w:rFonts w:ascii="Calibri" w:hAnsi="Calibri"/>
                <w:color w:val="333333"/>
                <w:sz w:val="20"/>
              </w:rPr>
              <w:t>None</w:t>
            </w:r>
          </w:p>
        </w:tc>
      </w:tr>
      <w:tr>
        <w:tc>
          <w:tcPr>
            <w:tcW w:type="dxa" w:w="1728"/>
            <w:shd w:fill="F5F5F5"/>
          </w:tcPr>
          <w:p>
            <w:r/>
            <w:r>
              <w:rPr>
                <w:rFonts w:ascii="Calibri" w:hAnsi="Calibri"/>
                <w:color w:val="333333"/>
                <w:sz w:val="20"/>
              </w:rPr>
              <w:t>High</w:t>
            </w:r>
          </w:p>
        </w:tc>
        <w:tc>
          <w:tcPr>
            <w:tcW w:type="dxa" w:w="3600"/>
            <w:shd w:fill="F5F5F5"/>
          </w:tcPr>
          <w:p>
            <w:r/>
            <w:r>
              <w:rPr>
                <w:rFonts w:ascii="Calibri" w:hAnsi="Calibri"/>
                <w:color w:val="333333"/>
                <w:sz w:val="20"/>
              </w:rPr>
              <w:t>Address this sprint. Significant risk that should be remediated promptly.</w:t>
            </w:r>
          </w:p>
        </w:tc>
        <w:tc>
          <w:tcPr>
            <w:tcW w:type="dxa" w:w="864"/>
            <w:shd w:fill="F5F5F5"/>
          </w:tcPr>
          <w:p>
            <w:r/>
            <w:r>
              <w:rPr>
                <w:rFonts w:ascii="Calibri" w:hAnsi="Calibri"/>
                <w:color w:val="333333"/>
                <w:sz w:val="20"/>
              </w:rPr>
              <w:t>0</w:t>
            </w:r>
          </w:p>
        </w:tc>
        <w:tc>
          <w:tcPr>
            <w:tcW w:type="dxa" w:w="3600"/>
            <w:shd w:fill="F5F5F5"/>
          </w:tcPr>
          <w:p>
            <w:r/>
            <w:r>
              <w:rPr>
                <w:rFonts w:ascii="Calibri" w:hAnsi="Calibri"/>
                <w:color w:val="333333"/>
                <w:sz w:val="20"/>
              </w:rPr>
              <w:t>None</w:t>
            </w:r>
          </w:p>
        </w:tc>
      </w:tr>
      <w:tr>
        <w:tc>
          <w:tcPr>
            <w:tcW w:type="dxa" w:w="1728"/>
          </w:tcPr>
          <w:p>
            <w:r/>
            <w:r>
              <w:rPr>
                <w:rFonts w:ascii="Calibri" w:hAnsi="Calibri"/>
                <w:color w:val="333333"/>
                <w:sz w:val="20"/>
              </w:rPr>
              <w:t>Medium</w:t>
            </w:r>
          </w:p>
        </w:tc>
        <w:tc>
          <w:tcPr>
            <w:tcW w:type="dxa" w:w="3600"/>
          </w:tcPr>
          <w:p>
            <w:r/>
            <w:r>
              <w:rPr>
                <w:rFonts w:ascii="Calibri" w:hAnsi="Calibri"/>
                <w:color w:val="333333"/>
                <w:sz w:val="20"/>
              </w:rPr>
              <w:t>Address this quarter. Important hardening that improves defense-in-depth.</w:t>
            </w:r>
          </w:p>
        </w:tc>
        <w:tc>
          <w:tcPr>
            <w:tcW w:type="dxa" w:w="864"/>
          </w:tcPr>
          <w:p>
            <w:r/>
            <w:r>
              <w:rPr>
                <w:rFonts w:ascii="Calibri" w:hAnsi="Calibri"/>
                <w:color w:val="333333"/>
                <w:sz w:val="20"/>
              </w:rPr>
              <w:t>3</w:t>
            </w:r>
          </w:p>
        </w:tc>
        <w:tc>
          <w:tcPr>
            <w:tcW w:type="dxa" w:w="3600"/>
          </w:tcPr>
          <w:p>
            <w:r/>
            <w:r>
              <w:rPr>
                <w:rFonts w:ascii="Calibri" w:hAnsi="Calibri"/>
                <w:color w:val="333333"/>
                <w:sz w:val="20"/>
              </w:rPr>
              <w:t>CKV2_AZURE_27, CKV_AZURE_113, CKV_AZURE_222</w:t>
            </w:r>
          </w:p>
        </w:tc>
      </w:tr>
      <w:tr>
        <w:tc>
          <w:tcPr>
            <w:tcW w:type="dxa" w:w="1728"/>
            <w:shd w:fill="F5F5F5"/>
          </w:tcPr>
          <w:p>
            <w:r/>
            <w:r>
              <w:rPr>
                <w:rFonts w:ascii="Calibri" w:hAnsi="Calibri"/>
                <w:color w:val="333333"/>
                <w:sz w:val="20"/>
              </w:rPr>
              <w:t>Low</w:t>
            </w:r>
          </w:p>
        </w:tc>
        <w:tc>
          <w:tcPr>
            <w:tcW w:type="dxa" w:w="3600"/>
            <w:shd w:fill="F5F5F5"/>
          </w:tcPr>
          <w:p>
            <w:r/>
            <w:r>
              <w:rPr>
                <w:rFonts w:ascii="Calibri" w:hAnsi="Calibri"/>
                <w:color w:val="333333"/>
                <w:sz w:val="20"/>
              </w:rPr>
              <w:t>Monitor and plan. Best-practice improvement with minimal direct risk.</w:t>
            </w:r>
          </w:p>
        </w:tc>
        <w:tc>
          <w:tcPr>
            <w:tcW w:type="dxa" w:w="864"/>
            <w:shd w:fill="F5F5F5"/>
          </w:tcPr>
          <w:p>
            <w:r/>
            <w:r>
              <w:rPr>
                <w:rFonts w:ascii="Calibri" w:hAnsi="Calibri"/>
                <w:color w:val="333333"/>
                <w:sz w:val="20"/>
              </w:rPr>
              <w:t>10</w:t>
            </w:r>
          </w:p>
        </w:tc>
        <w:tc>
          <w:tcPr>
            <w:tcW w:type="dxa" w:w="3600"/>
            <w:shd w:fill="F5F5F5"/>
          </w:tcPr>
          <w:p>
            <w:r/>
            <w:r>
              <w:rPr>
                <w:rFonts w:ascii="Calibri" w:hAnsi="Calibri"/>
                <w:color w:val="333333"/>
                <w:sz w:val="20"/>
              </w:rPr>
              <w:t>CKV_AZURE_16, CKV_AZURE_17, CKV_AZURE_18, CKV_AZURE_20, CKV_AZURE_21, CKV_AZURE_213, CKV_AZURE_22, CKV_AZURE_26, CKV_AZURE_27, CKV_AZURE_67</w:t>
            </w:r>
          </w:p>
        </w:tc>
      </w:tr>
      <w:tr>
        <w:tc>
          <w:tcPr>
            <w:tcW w:type="dxa" w:w="1728"/>
          </w:tcPr>
          <w:p>
            <w:r/>
            <w:r>
              <w:rPr>
                <w:rFonts w:ascii="Calibri" w:hAnsi="Calibri"/>
                <w:color w:val="333333"/>
                <w:sz w:val="20"/>
              </w:rPr>
              <w:t>Informational</w:t>
            </w:r>
          </w:p>
        </w:tc>
        <w:tc>
          <w:tcPr>
            <w:tcW w:type="dxa" w:w="3600"/>
          </w:tcPr>
          <w:p>
            <w:r/>
            <w:r>
              <w:rPr>
                <w:rFonts w:ascii="Calibri" w:hAnsi="Calibri"/>
                <w:color w:val="333333"/>
                <w:sz w:val="20"/>
              </w:rPr>
              <w:t>Accept or monitor. Informational findings with no direct security impact.</w:t>
            </w:r>
          </w:p>
        </w:tc>
        <w:tc>
          <w:tcPr>
            <w:tcW w:type="dxa" w:w="864"/>
          </w:tcPr>
          <w:p>
            <w:r/>
            <w:r>
              <w:rPr>
                <w:rFonts w:ascii="Calibri" w:hAnsi="Calibri"/>
                <w:color w:val="333333"/>
                <w:sz w:val="20"/>
              </w:rPr>
              <w:t>7</w:t>
            </w:r>
          </w:p>
        </w:tc>
        <w:tc>
          <w:tcPr>
            <w:tcW w:type="dxa" w:w="3600"/>
          </w:tcPr>
          <w:p>
            <w:r/>
            <w:r>
              <w:rPr>
                <w:rFonts w:ascii="Calibri" w:hAnsi="Calibri"/>
                <w:color w:val="333333"/>
                <w:sz w:val="20"/>
              </w:rPr>
              <w:t>CKV_AZURE_206, CKV_AZURE_212, CKV_AZURE_225, CKV_AZURE_229, CKV_AZURE_43, zap-10049, zap-90005</w:t>
            </w:r>
          </w:p>
        </w:tc>
      </w:tr>
    </w:tbl>
    <w:p/>
    <w:p>
      <w:r>
        <w:rPr>
          <w:rFonts w:ascii="Calibri" w:hAnsi="Calibri"/>
          <w:color w:val="333333"/>
          <w:sz w:val="22"/>
        </w:rPr>
        <w:t>No Critical or High risk findings were identified by the automated scanning tools. 3 Medium risk findings relate to infrastructure hardening and should be addressed per the remediation roadmap in Section 7. Note: the absence of Critical/High findings from automated tools does not guarantee the absence of all high-risk vulnerabilities—manual penetration testing is recommended to validate this assessment.</w:t>
      </w:r>
    </w:p>
    <w:p>
      <w:r>
        <w:br w:type="page"/>
      </w:r>
    </w:p>
    <w:p>
      <w:pPr>
        <w:pStyle w:val="Heading1"/>
      </w:pPr>
      <w:r>
        <w:t>7. Remediation Status &amp; Roadmap</w:t>
      </w:r>
    </w:p>
    <w:p>
      <w:pPr>
        <w:pStyle w:val="Heading2"/>
      </w:pPr>
      <w:r>
        <w:t>7.1 Already Mitigated</w:t>
      </w:r>
    </w:p>
    <w:p>
      <w:r>
        <w:rPr>
          <w:rFonts w:ascii="Calibri" w:hAnsi="Calibri"/>
          <w:color w:val="333333"/>
          <w:sz w:val="22"/>
        </w:rPr>
        <w:t>The following security concerns are already addressed by the platform architecture and do not require action:</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E3A5F"/>
          </w:tcPr>
          <w:p>
            <w:pPr>
              <w:jc w:val="left"/>
            </w:pPr>
            <w:r/>
            <w:r>
              <w:rPr>
                <w:rFonts w:ascii="Calibri" w:hAnsi="Calibri"/>
                <w:b/>
                <w:color w:val="FFFFFF"/>
                <w:sz w:val="20"/>
              </w:rPr>
              <w:t>Concern</w:t>
            </w:r>
          </w:p>
        </w:tc>
        <w:tc>
          <w:tcPr>
            <w:tcW w:type="dxa" w:w="1440"/>
            <w:shd w:fill="1E3A5F"/>
          </w:tcPr>
          <w:p>
            <w:pPr>
              <w:jc w:val="left"/>
            </w:pPr>
            <w:r/>
            <w:r>
              <w:rPr>
                <w:rFonts w:ascii="Calibri" w:hAnsi="Calibri"/>
                <w:b/>
                <w:color w:val="FFFFFF"/>
                <w:sz w:val="20"/>
              </w:rPr>
              <w:t>Status</w:t>
            </w:r>
          </w:p>
        </w:tc>
        <w:tc>
          <w:tcPr>
            <w:tcW w:type="dxa" w:w="5472"/>
            <w:shd w:fill="1E3A5F"/>
          </w:tcPr>
          <w:p>
            <w:pPr>
              <w:jc w:val="left"/>
            </w:pPr>
            <w:r/>
            <w:r>
              <w:rPr>
                <w:rFonts w:ascii="Calibri" w:hAnsi="Calibri"/>
                <w:b/>
                <w:color w:val="FFFFFF"/>
                <w:sz w:val="20"/>
              </w:rPr>
              <w:t>Justification</w:t>
            </w:r>
          </w:p>
        </w:tc>
      </w:tr>
      <w:tr>
        <w:tc>
          <w:tcPr>
            <w:tcW w:type="dxa" w:w="2880"/>
          </w:tcPr>
          <w:p>
            <w:r/>
            <w:r>
              <w:rPr>
                <w:rFonts w:ascii="Calibri" w:hAnsi="Calibri"/>
                <w:color w:val="333333"/>
                <w:sz w:val="20"/>
              </w:rPr>
              <w:t>Anti-CSRF Tokens (ZAP 10202)</w:t>
            </w:r>
          </w:p>
        </w:tc>
        <w:tc>
          <w:tcPr>
            <w:tcW w:type="dxa" w:w="1440"/>
          </w:tcPr>
          <w:p>
            <w:r/>
            <w:r>
              <w:rPr>
                <w:rFonts w:ascii="Calibri" w:hAnsi="Calibri"/>
                <w:color w:val="333333"/>
                <w:sz w:val="20"/>
              </w:rPr>
              <w:t>Mitigated</w:t>
            </w:r>
          </w:p>
        </w:tc>
        <w:tc>
          <w:tcPr>
            <w:tcW w:type="dxa" w:w="5472"/>
          </w:tcPr>
          <w:p>
            <w:r/>
            <w:r>
              <w:rPr>
                <w:rFonts w:ascii="Calibri" w:hAnsi="Calibri"/>
                <w:color w:val="333333"/>
                <w:sz w:val="20"/>
              </w:rPr>
              <w:t>API uses JWT bearer authentication, not cookie-based sessions. CSRF attacks require cookie-based auth to be effective.</w:t>
            </w:r>
          </w:p>
        </w:tc>
      </w:tr>
      <w:tr>
        <w:tc>
          <w:tcPr>
            <w:tcW w:type="dxa" w:w="2880"/>
            <w:shd w:fill="F5F5F5"/>
          </w:tcPr>
          <w:p>
            <w:r/>
            <w:r>
              <w:rPr>
                <w:rFonts w:ascii="Calibri" w:hAnsi="Calibri"/>
                <w:color w:val="333333"/>
                <w:sz w:val="20"/>
              </w:rPr>
              <w:t>Cookie Scoping (ZAP 90033)</w:t>
            </w:r>
          </w:p>
        </w:tc>
        <w:tc>
          <w:tcPr>
            <w:tcW w:type="dxa" w:w="1440"/>
            <w:shd w:fill="F5F5F5"/>
          </w:tcPr>
          <w:p>
            <w:r/>
            <w:r>
              <w:rPr>
                <w:rFonts w:ascii="Calibri" w:hAnsi="Calibri"/>
                <w:color w:val="333333"/>
                <w:sz w:val="20"/>
              </w:rPr>
              <w:t>Mitigated</w:t>
            </w:r>
          </w:p>
        </w:tc>
        <w:tc>
          <w:tcPr>
            <w:tcW w:type="dxa" w:w="5472"/>
            <w:shd w:fill="F5F5F5"/>
          </w:tcPr>
          <w:p>
            <w:r/>
            <w:r>
              <w:rPr>
                <w:rFonts w:ascii="Calibri" w:hAnsi="Calibri"/>
                <w:color w:val="333333"/>
                <w:sz w:val="20"/>
              </w:rPr>
              <w:t>Authentication cookies are managed by the Azure platform and scoped appropriately.</w:t>
            </w:r>
          </w:p>
        </w:tc>
      </w:tr>
      <w:tr>
        <w:tc>
          <w:tcPr>
            <w:tcW w:type="dxa" w:w="2880"/>
          </w:tcPr>
          <w:p>
            <w:r/>
            <w:r>
              <w:rPr>
                <w:rFonts w:ascii="Calibri" w:hAnsi="Calibri"/>
                <w:color w:val="333333"/>
                <w:sz w:val="20"/>
              </w:rPr>
              <w:t>SQL Injection</w:t>
            </w:r>
          </w:p>
        </w:tc>
        <w:tc>
          <w:tcPr>
            <w:tcW w:type="dxa" w:w="1440"/>
          </w:tcPr>
          <w:p>
            <w:r/>
            <w:r>
              <w:rPr>
                <w:rFonts w:ascii="Calibri" w:hAnsi="Calibri"/>
                <w:color w:val="333333"/>
                <w:sz w:val="20"/>
              </w:rPr>
              <w:t>Mitigated</w:t>
            </w:r>
          </w:p>
        </w:tc>
        <w:tc>
          <w:tcPr>
            <w:tcW w:type="dxa" w:w="5472"/>
          </w:tcPr>
          <w:p>
            <w:r/>
            <w:r>
              <w:rPr>
                <w:rFonts w:ascii="Calibri" w:hAnsi="Calibri"/>
                <w:color w:val="333333"/>
                <w:sz w:val="20"/>
              </w:rPr>
              <w:t>Entity Framework Core parameterizes all queries. No raw SQL is used. SAST and DAST confirm zero injection findings.</w:t>
            </w:r>
          </w:p>
        </w:tc>
      </w:tr>
      <w:tr>
        <w:tc>
          <w:tcPr>
            <w:tcW w:type="dxa" w:w="2880"/>
            <w:shd w:fill="F5F5F5"/>
          </w:tcPr>
          <w:p>
            <w:r/>
            <w:r>
              <w:rPr>
                <w:rFonts w:ascii="Calibri" w:hAnsi="Calibri"/>
                <w:color w:val="333333"/>
                <w:sz w:val="20"/>
              </w:rPr>
              <w:t>Cross-Site Scripting</w:t>
            </w:r>
          </w:p>
        </w:tc>
        <w:tc>
          <w:tcPr>
            <w:tcW w:type="dxa" w:w="1440"/>
            <w:shd w:fill="F5F5F5"/>
          </w:tcPr>
          <w:p>
            <w:r/>
            <w:r>
              <w:rPr>
                <w:rFonts w:ascii="Calibri" w:hAnsi="Calibri"/>
                <w:color w:val="333333"/>
                <w:sz w:val="20"/>
              </w:rPr>
              <w:t>Mitigated</w:t>
            </w:r>
          </w:p>
        </w:tc>
        <w:tc>
          <w:tcPr>
            <w:tcW w:type="dxa" w:w="5472"/>
            <w:shd w:fill="F5F5F5"/>
          </w:tcPr>
          <w:p>
            <w:r/>
            <w:r>
              <w:rPr>
                <w:rFonts w:ascii="Calibri" w:hAnsi="Calibri"/>
                <w:color w:val="333333"/>
                <w:sz w:val="20"/>
              </w:rPr>
              <w:t>React 19 escapes all rendered content by default. No dangerouslySetInnerHTML usage detected. DAST confirms zero XSS findings.</w:t>
            </w:r>
          </w:p>
        </w:tc>
      </w:tr>
      <w:tr>
        <w:tc>
          <w:tcPr>
            <w:tcW w:type="dxa" w:w="2880"/>
          </w:tcPr>
          <w:p>
            <w:r/>
            <w:r>
              <w:rPr>
                <w:rFonts w:ascii="Calibri" w:hAnsi="Calibri"/>
                <w:color w:val="333333"/>
                <w:sz w:val="20"/>
              </w:rPr>
              <w:t>Hardcoded Secrets</w:t>
            </w:r>
          </w:p>
        </w:tc>
        <w:tc>
          <w:tcPr>
            <w:tcW w:type="dxa" w:w="1440"/>
          </w:tcPr>
          <w:p>
            <w:r/>
            <w:r>
              <w:rPr>
                <w:rFonts w:ascii="Calibri" w:hAnsi="Calibri"/>
                <w:color w:val="333333"/>
                <w:sz w:val="20"/>
              </w:rPr>
              <w:t>Mitigated</w:t>
            </w:r>
          </w:p>
        </w:tc>
        <w:tc>
          <w:tcPr>
            <w:tcW w:type="dxa" w:w="5472"/>
          </w:tcPr>
          <w:p>
            <w:r/>
            <w:r>
              <w:rPr>
                <w:rFonts w:ascii="Calibri" w:hAnsi="Calibri"/>
                <w:color w:val="333333"/>
                <w:sz w:val="20"/>
              </w:rPr>
              <w:t>Semgrep secret detection found zero hardcoded credentials. Secrets are managed via App Service application settings.</w:t>
            </w:r>
          </w:p>
        </w:tc>
      </w:tr>
      <w:tr>
        <w:tc>
          <w:tcPr>
            <w:tcW w:type="dxa" w:w="2880"/>
            <w:shd w:fill="F5F5F5"/>
          </w:tcPr>
          <w:p>
            <w:r/>
            <w:r>
              <w:rPr>
                <w:rFonts w:ascii="Calibri" w:hAnsi="Calibri"/>
                <w:color w:val="333333"/>
                <w:sz w:val="20"/>
              </w:rPr>
              <w:t>Non-Storable Content (ZAP 10049)</w:t>
            </w:r>
          </w:p>
        </w:tc>
        <w:tc>
          <w:tcPr>
            <w:tcW w:type="dxa" w:w="1440"/>
            <w:shd w:fill="F5F5F5"/>
          </w:tcPr>
          <w:p>
            <w:r/>
            <w:r>
              <w:rPr>
                <w:rFonts w:ascii="Calibri" w:hAnsi="Calibri"/>
                <w:color w:val="333333"/>
                <w:sz w:val="20"/>
              </w:rPr>
              <w:t>By Design</w:t>
            </w:r>
          </w:p>
        </w:tc>
        <w:tc>
          <w:tcPr>
            <w:tcW w:type="dxa" w:w="5472"/>
            <w:shd w:fill="F5F5F5"/>
          </w:tcPr>
          <w:p>
            <w:r/>
            <w:r>
              <w:rPr>
                <w:rFonts w:ascii="Calibri" w:hAnsi="Calibri"/>
                <w:color w:val="333333"/>
                <w:sz w:val="20"/>
              </w:rPr>
              <w:t>Authenticated API responses correctly prevent caching by shared proxies.</w:t>
            </w:r>
          </w:p>
        </w:tc>
      </w:tr>
      <w:tr>
        <w:tc>
          <w:tcPr>
            <w:tcW w:type="dxa" w:w="2880"/>
          </w:tcPr>
          <w:p>
            <w:r/>
            <w:r>
              <w:rPr>
                <w:rFonts w:ascii="Calibri" w:hAnsi="Calibri"/>
                <w:color w:val="333333"/>
                <w:sz w:val="20"/>
              </w:rPr>
              <w:t>Sec-Fetch Headers (ZAP 90005)</w:t>
            </w:r>
          </w:p>
        </w:tc>
        <w:tc>
          <w:tcPr>
            <w:tcW w:type="dxa" w:w="1440"/>
          </w:tcPr>
          <w:p>
            <w:r/>
            <w:r>
              <w:rPr>
                <w:rFonts w:ascii="Calibri" w:hAnsi="Calibri"/>
                <w:color w:val="333333"/>
                <w:sz w:val="20"/>
              </w:rPr>
              <w:t>Not Applicable</w:t>
            </w:r>
          </w:p>
        </w:tc>
        <w:tc>
          <w:tcPr>
            <w:tcW w:type="dxa" w:w="5472"/>
          </w:tcPr>
          <w:p>
            <w:r/>
            <w:r>
              <w:rPr>
                <w:rFonts w:ascii="Calibri" w:hAnsi="Calibri"/>
                <w:color w:val="333333"/>
                <w:sz w:val="20"/>
              </w:rPr>
              <w:t>These are request-side browser headers. The ZAP scanner does not send them because it is not a browser.</w:t>
            </w:r>
          </w:p>
        </w:tc>
      </w:tr>
      <w:tr>
        <w:tc>
          <w:tcPr>
            <w:tcW w:type="dxa" w:w="2880"/>
            <w:shd w:fill="F5F5F5"/>
          </w:tcPr>
          <w:p>
            <w:r/>
            <w:r>
              <w:rPr>
                <w:rFonts w:ascii="Calibri" w:hAnsi="Calibri"/>
                <w:color w:val="333333"/>
                <w:sz w:val="20"/>
              </w:rPr>
              <w:t>HSTS Header (ZAP 10035)</w:t>
            </w:r>
          </w:p>
        </w:tc>
        <w:tc>
          <w:tcPr>
            <w:tcW w:type="dxa" w:w="1440"/>
            <w:shd w:fill="F5F5F5"/>
          </w:tcPr>
          <w:p>
            <w:r/>
            <w:r>
              <w:rPr>
                <w:rFonts w:ascii="Calibri" w:hAnsi="Calibri"/>
                <w:color w:val="333333"/>
                <w:sz w:val="20"/>
              </w:rPr>
              <w:t>Mitigated</w:t>
            </w:r>
          </w:p>
        </w:tc>
        <w:tc>
          <w:tcPr>
            <w:tcW w:type="dxa" w:w="5472"/>
            <w:shd w:fill="F5F5F5"/>
          </w:tcPr>
          <w:p>
            <w:r/>
            <w:r>
              <w:rPr>
                <w:rFonts w:ascii="Calibri" w:hAnsi="Calibri"/>
                <w:color w:val="333333"/>
                <w:sz w:val="20"/>
              </w:rPr>
              <w:t>HSTS configured with max-age=31536000 and includeSubDomains via ASP.NET Core middleware.</w:t>
            </w:r>
          </w:p>
        </w:tc>
      </w:tr>
      <w:tr>
        <w:tc>
          <w:tcPr>
            <w:tcW w:type="dxa" w:w="2880"/>
          </w:tcPr>
          <w:p>
            <w:r/>
            <w:r>
              <w:rPr>
                <w:rFonts w:ascii="Calibri" w:hAnsi="Calibri"/>
                <w:color w:val="333333"/>
                <w:sz w:val="20"/>
              </w:rPr>
              <w:t>Content Security Policy (ZAP 10038)</w:t>
            </w:r>
          </w:p>
        </w:tc>
        <w:tc>
          <w:tcPr>
            <w:tcW w:type="dxa" w:w="1440"/>
          </w:tcPr>
          <w:p>
            <w:r/>
            <w:r>
              <w:rPr>
                <w:rFonts w:ascii="Calibri" w:hAnsi="Calibri"/>
                <w:color w:val="333333"/>
                <w:sz w:val="20"/>
              </w:rPr>
              <w:t>Mitigated</w:t>
            </w:r>
          </w:p>
        </w:tc>
        <w:tc>
          <w:tcPr>
            <w:tcW w:type="dxa" w:w="5472"/>
          </w:tcPr>
          <w:p>
            <w:r/>
            <w:r>
              <w:rPr>
                <w:rFonts w:ascii="Calibri" w:hAnsi="Calibri"/>
                <w:color w:val="333333"/>
                <w:sz w:val="20"/>
              </w:rPr>
              <w:t>Restrictive CSP header (default-src 'none'; frame-ancestors 'none') set for all API responses.</w:t>
            </w:r>
          </w:p>
        </w:tc>
      </w:tr>
      <w:tr>
        <w:tc>
          <w:tcPr>
            <w:tcW w:type="dxa" w:w="2880"/>
            <w:shd w:fill="F5F5F5"/>
          </w:tcPr>
          <w:p>
            <w:r/>
            <w:r>
              <w:rPr>
                <w:rFonts w:ascii="Calibri" w:hAnsi="Calibri"/>
                <w:color w:val="333333"/>
                <w:sz w:val="20"/>
              </w:rPr>
              <w:t>X-Content-Type-Options (ZAP 10021)</w:t>
            </w:r>
          </w:p>
        </w:tc>
        <w:tc>
          <w:tcPr>
            <w:tcW w:type="dxa" w:w="1440"/>
            <w:shd w:fill="F5F5F5"/>
          </w:tcPr>
          <w:p>
            <w:r/>
            <w:r>
              <w:rPr>
                <w:rFonts w:ascii="Calibri" w:hAnsi="Calibri"/>
                <w:color w:val="333333"/>
                <w:sz w:val="20"/>
              </w:rPr>
              <w:t>Mitigated</w:t>
            </w:r>
          </w:p>
        </w:tc>
        <w:tc>
          <w:tcPr>
            <w:tcW w:type="dxa" w:w="5472"/>
            <w:shd w:fill="F5F5F5"/>
          </w:tcPr>
          <w:p>
            <w:r/>
            <w:r>
              <w:rPr>
                <w:rFonts w:ascii="Calibri" w:hAnsi="Calibri"/>
                <w:color w:val="333333"/>
                <w:sz w:val="20"/>
              </w:rPr>
              <w:t>X-Content-Type-Options: nosniff header set via security headers middleware.</w:t>
            </w:r>
          </w:p>
        </w:tc>
      </w:tr>
      <w:tr>
        <w:tc>
          <w:tcPr>
            <w:tcW w:type="dxa" w:w="2880"/>
          </w:tcPr>
          <w:p>
            <w:r/>
            <w:r>
              <w:rPr>
                <w:rFonts w:ascii="Calibri" w:hAnsi="Calibri"/>
                <w:color w:val="333333"/>
                <w:sz w:val="20"/>
              </w:rPr>
              <w:t>X-Frame-Options (ZAP 10020)</w:t>
            </w:r>
          </w:p>
        </w:tc>
        <w:tc>
          <w:tcPr>
            <w:tcW w:type="dxa" w:w="1440"/>
          </w:tcPr>
          <w:p>
            <w:r/>
            <w:r>
              <w:rPr>
                <w:rFonts w:ascii="Calibri" w:hAnsi="Calibri"/>
                <w:color w:val="333333"/>
                <w:sz w:val="20"/>
              </w:rPr>
              <w:t>Mitigated</w:t>
            </w:r>
          </w:p>
        </w:tc>
        <w:tc>
          <w:tcPr>
            <w:tcW w:type="dxa" w:w="5472"/>
          </w:tcPr>
          <w:p>
            <w:r/>
            <w:r>
              <w:rPr>
                <w:rFonts w:ascii="Calibri" w:hAnsi="Calibri"/>
                <w:color w:val="333333"/>
                <w:sz w:val="20"/>
              </w:rPr>
              <w:t>X-Frame-Options: DENY header set via security headers middleware.</w:t>
            </w:r>
          </w:p>
        </w:tc>
      </w:tr>
      <w:tr>
        <w:tc>
          <w:tcPr>
            <w:tcW w:type="dxa" w:w="2880"/>
            <w:shd w:fill="F5F5F5"/>
          </w:tcPr>
          <w:p>
            <w:r/>
            <w:r>
              <w:rPr>
                <w:rFonts w:ascii="Calibri" w:hAnsi="Calibri"/>
                <w:color w:val="333333"/>
                <w:sz w:val="20"/>
              </w:rPr>
              <w:t>SQL Server Auditing (CKV_AZURE_23/24)</w:t>
            </w:r>
          </w:p>
        </w:tc>
        <w:tc>
          <w:tcPr>
            <w:tcW w:type="dxa" w:w="1440"/>
            <w:shd w:fill="F5F5F5"/>
          </w:tcPr>
          <w:p>
            <w:r/>
            <w:r>
              <w:rPr>
                <w:rFonts w:ascii="Calibri" w:hAnsi="Calibri"/>
                <w:color w:val="333333"/>
                <w:sz w:val="20"/>
              </w:rPr>
              <w:t>Mitigated</w:t>
            </w:r>
          </w:p>
        </w:tc>
        <w:tc>
          <w:tcPr>
            <w:tcW w:type="dxa" w:w="5472"/>
            <w:shd w:fill="F5F5F5"/>
          </w:tcPr>
          <w:p>
            <w:r/>
            <w:r>
              <w:rPr>
                <w:rFonts w:ascii="Calibri" w:hAnsi="Calibri"/>
                <w:color w:val="333333"/>
                <w:sz w:val="20"/>
              </w:rPr>
              <w:t>Auditing enabled with 90-day retention via Log Analytics workspace in database.bicep.</w:t>
            </w:r>
          </w:p>
        </w:tc>
      </w:tr>
      <w:tr>
        <w:tc>
          <w:tcPr>
            <w:tcW w:type="dxa" w:w="2880"/>
          </w:tcPr>
          <w:p>
            <w:r/>
            <w:r>
              <w:rPr>
                <w:rFonts w:ascii="Calibri" w:hAnsi="Calibri"/>
                <w:color w:val="333333"/>
                <w:sz w:val="20"/>
              </w:rPr>
              <w:t>SQL Threat Detection (CKV_AZURE_25)</w:t>
            </w:r>
          </w:p>
        </w:tc>
        <w:tc>
          <w:tcPr>
            <w:tcW w:type="dxa" w:w="1440"/>
          </w:tcPr>
          <w:p>
            <w:r/>
            <w:r>
              <w:rPr>
                <w:rFonts w:ascii="Calibri" w:hAnsi="Calibri"/>
                <w:color w:val="333333"/>
                <w:sz w:val="20"/>
              </w:rPr>
              <w:t>Mitigated</w:t>
            </w:r>
          </w:p>
        </w:tc>
        <w:tc>
          <w:tcPr>
            <w:tcW w:type="dxa" w:w="5472"/>
          </w:tcPr>
          <w:p>
            <w:r/>
            <w:r>
              <w:rPr>
                <w:rFonts w:ascii="Calibri" w:hAnsi="Calibri"/>
                <w:color w:val="333333"/>
                <w:sz w:val="20"/>
              </w:rPr>
              <w:t>Advanced Threat Protection enabled with all alert types and admin email notification.</w:t>
            </w:r>
          </w:p>
        </w:tc>
      </w:tr>
      <w:tr>
        <w:tc>
          <w:tcPr>
            <w:tcW w:type="dxa" w:w="2880"/>
            <w:shd w:fill="F5F5F5"/>
          </w:tcPr>
          <w:p>
            <w:r/>
            <w:r>
              <w:rPr>
                <w:rFonts w:ascii="Calibri" w:hAnsi="Calibri"/>
                <w:color w:val="333333"/>
                <w:sz w:val="20"/>
              </w:rPr>
              <w:t>Storage Network Access (CKV_AZURE_35)</w:t>
            </w:r>
          </w:p>
        </w:tc>
        <w:tc>
          <w:tcPr>
            <w:tcW w:type="dxa" w:w="1440"/>
            <w:shd w:fill="F5F5F5"/>
          </w:tcPr>
          <w:p>
            <w:r/>
            <w:r>
              <w:rPr>
                <w:rFonts w:ascii="Calibri" w:hAnsi="Calibri"/>
                <w:color w:val="333333"/>
                <w:sz w:val="20"/>
              </w:rPr>
              <w:t>Mitigated</w:t>
            </w:r>
          </w:p>
        </w:tc>
        <w:tc>
          <w:tcPr>
            <w:tcW w:type="dxa" w:w="5472"/>
            <w:shd w:fill="F5F5F5"/>
          </w:tcPr>
          <w:p>
            <w:r/>
            <w:r>
              <w:rPr>
                <w:rFonts w:ascii="Calibri" w:hAnsi="Calibri"/>
                <w:color w:val="333333"/>
                <w:sz w:val="20"/>
              </w:rPr>
              <w:t>Storage Account networkAcls set to defaultAction: 'Deny' with bypass: 'AzureServices' in storage.bicep.</w:t>
            </w:r>
          </w:p>
        </w:tc>
      </w:tr>
      <w:tr>
        <w:tc>
          <w:tcPr>
            <w:tcW w:type="dxa" w:w="2880"/>
          </w:tcPr>
          <w:p>
            <w:r/>
            <w:r>
              <w:rPr>
                <w:rFonts w:ascii="Calibri" w:hAnsi="Calibri"/>
                <w:color w:val="333333"/>
                <w:sz w:val="20"/>
              </w:rPr>
              <w:t>Managed Identity (CKV_AZURE_71)</w:t>
            </w:r>
          </w:p>
        </w:tc>
        <w:tc>
          <w:tcPr>
            <w:tcW w:type="dxa" w:w="1440"/>
          </w:tcPr>
          <w:p>
            <w:r/>
            <w:r>
              <w:rPr>
                <w:rFonts w:ascii="Calibri" w:hAnsi="Calibri"/>
                <w:color w:val="333333"/>
                <w:sz w:val="20"/>
              </w:rPr>
              <w:t>Mitigated</w:t>
            </w:r>
          </w:p>
        </w:tc>
        <w:tc>
          <w:tcPr>
            <w:tcW w:type="dxa" w:w="5472"/>
          </w:tcPr>
          <w:p>
            <w:r/>
            <w:r>
              <w:rPr>
                <w:rFonts w:ascii="Calibri" w:hAnsi="Calibri"/>
                <w:color w:val="333333"/>
                <w:sz w:val="20"/>
              </w:rPr>
              <w:t>SystemAssigned managed identity enabled on App Service with Key Vault Secrets User RBAC role.</w:t>
            </w:r>
          </w:p>
        </w:tc>
      </w:tr>
      <w:tr>
        <w:tc>
          <w:tcPr>
            <w:tcW w:type="dxa" w:w="2880"/>
            <w:shd w:fill="F5F5F5"/>
          </w:tcPr>
          <w:p>
            <w:r/>
            <w:r>
              <w:rPr>
                <w:rFonts w:ascii="Calibri" w:hAnsi="Calibri"/>
                <w:color w:val="333333"/>
                <w:sz w:val="20"/>
              </w:rPr>
              <w:t>Defender for Storage (CKV_AZURE_84)</w:t>
            </w:r>
          </w:p>
        </w:tc>
        <w:tc>
          <w:tcPr>
            <w:tcW w:type="dxa" w:w="1440"/>
            <w:shd w:fill="F5F5F5"/>
          </w:tcPr>
          <w:p>
            <w:r/>
            <w:r>
              <w:rPr>
                <w:rFonts w:ascii="Calibri" w:hAnsi="Calibri"/>
                <w:color w:val="333333"/>
                <w:sz w:val="20"/>
              </w:rPr>
              <w:t>Mitigated</w:t>
            </w:r>
          </w:p>
        </w:tc>
        <w:tc>
          <w:tcPr>
            <w:tcW w:type="dxa" w:w="5472"/>
            <w:shd w:fill="F5F5F5"/>
          </w:tcPr>
          <w:p>
            <w:r/>
            <w:r>
              <w:rPr>
                <w:rFonts w:ascii="Calibri" w:hAnsi="Calibri"/>
                <w:color w:val="333333"/>
                <w:sz w:val="20"/>
              </w:rPr>
              <w:t>Defender for Storage Standard tier (DefenderForStorageV2) enabled in defender.bicep.</w:t>
            </w:r>
          </w:p>
        </w:tc>
      </w:tr>
      <w:tr>
        <w:tc>
          <w:tcPr>
            <w:tcW w:type="dxa" w:w="2880"/>
          </w:tcPr>
          <w:p>
            <w:r/>
            <w:r>
              <w:rPr>
                <w:rFonts w:ascii="Calibri" w:hAnsi="Calibri"/>
                <w:color w:val="333333"/>
                <w:sz w:val="20"/>
              </w:rPr>
              <w:t>Defender for Key Vault (CKV_AZURE_87)</w:t>
            </w:r>
          </w:p>
        </w:tc>
        <w:tc>
          <w:tcPr>
            <w:tcW w:type="dxa" w:w="1440"/>
          </w:tcPr>
          <w:p>
            <w:r/>
            <w:r>
              <w:rPr>
                <w:rFonts w:ascii="Calibri" w:hAnsi="Calibri"/>
                <w:color w:val="333333"/>
                <w:sz w:val="20"/>
              </w:rPr>
              <w:t>Mitigated</w:t>
            </w:r>
          </w:p>
        </w:tc>
        <w:tc>
          <w:tcPr>
            <w:tcW w:type="dxa" w:w="5472"/>
          </w:tcPr>
          <w:p>
            <w:r/>
            <w:r>
              <w:rPr>
                <w:rFonts w:ascii="Calibri" w:hAnsi="Calibri"/>
                <w:color w:val="333333"/>
                <w:sz w:val="20"/>
              </w:rPr>
              <w:t>Defender for Key Vault Standard tier enabled in defender.bicep.</w:t>
            </w:r>
          </w:p>
        </w:tc>
      </w:tr>
      <w:tr>
        <w:tc>
          <w:tcPr>
            <w:tcW w:type="dxa" w:w="2880"/>
            <w:shd w:fill="F5F5F5"/>
          </w:tcPr>
          <w:p>
            <w:r/>
            <w:r>
              <w:rPr>
                <w:rFonts w:ascii="Calibri" w:hAnsi="Calibri"/>
                <w:color w:val="333333"/>
                <w:sz w:val="20"/>
              </w:rPr>
              <w:t>Defender Standard Tier (CKV_AZURE_19)</w:t>
            </w:r>
          </w:p>
        </w:tc>
        <w:tc>
          <w:tcPr>
            <w:tcW w:type="dxa" w:w="1440"/>
            <w:shd w:fill="F5F5F5"/>
          </w:tcPr>
          <w:p>
            <w:r/>
            <w:r>
              <w:rPr>
                <w:rFonts w:ascii="Calibri" w:hAnsi="Calibri"/>
                <w:color w:val="333333"/>
                <w:sz w:val="20"/>
              </w:rPr>
              <w:t>Mitigated</w:t>
            </w:r>
          </w:p>
        </w:tc>
        <w:tc>
          <w:tcPr>
            <w:tcW w:type="dxa" w:w="5472"/>
            <w:shd w:fill="F5F5F5"/>
          </w:tcPr>
          <w:p>
            <w:r/>
            <w:r>
              <w:rPr>
                <w:rFonts w:ascii="Calibri" w:hAnsi="Calibri"/>
                <w:color w:val="333333"/>
                <w:sz w:val="20"/>
              </w:rPr>
              <w:t>Defender for SQL Standard tier enabled in defender.bicep.</w:t>
            </w:r>
          </w:p>
        </w:tc>
      </w:tr>
    </w:tbl>
    <w:p/>
    <w:p>
      <w:pPr>
        <w:pStyle w:val="Heading2"/>
      </w:pPr>
      <w:r>
        <w:t>7.2 Accepted Risks</w:t>
      </w:r>
    </w:p>
    <w:p>
      <w:r>
        <w:rPr>
          <w:rFonts w:ascii="Calibri" w:hAnsi="Calibri"/>
          <w:color w:val="333333"/>
          <w:sz w:val="22"/>
        </w:rPr>
        <w:t>The following risks have been reviewed and accepted based on the current deployment model and cost constraints. These are genuinely low-impact items, not deferred remediation items.</w:t>
      </w:r>
    </w:p>
    <w:tbl>
      <w:tblPr>
        <w:tblStyle w:val="TableGrid"/>
        <w:tblW w:type="auto" w:w="0"/>
        <w:jc w:val="center"/>
        <w:tblLook w:firstColumn="1" w:firstRow="1" w:lastColumn="0" w:lastRow="0" w:noHBand="0" w:noVBand="1" w:val="04A0"/>
      </w:tblPr>
      <w:tblGrid>
        <w:gridCol w:w="4680"/>
        <w:gridCol w:w="4680"/>
      </w:tblGrid>
      <w:tr>
        <w:tc>
          <w:tcPr>
            <w:tcW w:type="dxa" w:w="3600"/>
            <w:shd w:fill="1E3A5F"/>
          </w:tcPr>
          <w:p>
            <w:pPr>
              <w:jc w:val="left"/>
            </w:pPr>
            <w:r/>
            <w:r>
              <w:rPr>
                <w:rFonts w:ascii="Calibri" w:hAnsi="Calibri"/>
                <w:b/>
                <w:color w:val="FFFFFF"/>
                <w:sz w:val="20"/>
              </w:rPr>
              <w:t>Finding</w:t>
            </w:r>
          </w:p>
        </w:tc>
        <w:tc>
          <w:tcPr>
            <w:tcW w:type="dxa" w:w="6192"/>
            <w:shd w:fill="1E3A5F"/>
          </w:tcPr>
          <w:p>
            <w:pPr>
              <w:jc w:val="left"/>
            </w:pPr>
            <w:r/>
            <w:r>
              <w:rPr>
                <w:rFonts w:ascii="Calibri" w:hAnsi="Calibri"/>
                <w:b/>
                <w:color w:val="FFFFFF"/>
                <w:sz w:val="20"/>
              </w:rPr>
              <w:t>Rationale for Acceptance</w:t>
            </w:r>
          </w:p>
        </w:tc>
      </w:tr>
      <w:tr>
        <w:tc>
          <w:tcPr>
            <w:tcW w:type="dxa" w:w="3600"/>
          </w:tcPr>
          <w:p>
            <w:r/>
            <w:r>
              <w:rPr>
                <w:rFonts w:ascii="Calibri" w:hAnsi="Calibri"/>
                <w:color w:val="333333"/>
                <w:sz w:val="20"/>
              </w:rPr>
              <w:t>Permissions Policy Header (ZAP 10063)</w:t>
            </w:r>
          </w:p>
        </w:tc>
        <w:tc>
          <w:tcPr>
            <w:tcW w:type="dxa" w:w="6192"/>
          </w:tcPr>
          <w:p>
            <w:r/>
            <w:r>
              <w:rPr>
                <w:rFonts w:ascii="Calibri" w:hAnsi="Calibri"/>
                <w:color w:val="333333"/>
                <w:sz w:val="20"/>
              </w:rPr>
              <w:t>Low risk for a backend API that does not serve HTML content or use browser features controlled by Permissions Policy.</w:t>
            </w:r>
          </w:p>
        </w:tc>
      </w:tr>
      <w:tr>
        <w:tc>
          <w:tcPr>
            <w:tcW w:type="dxa" w:w="3600"/>
            <w:shd w:fill="F5F5F5"/>
          </w:tcPr>
          <w:p>
            <w:r/>
            <w:r>
              <w:rPr>
                <w:rFonts w:ascii="Calibri" w:hAnsi="Calibri"/>
                <w:color w:val="333333"/>
                <w:sz w:val="20"/>
              </w:rPr>
              <w:t>Zone Redundancy (CKV_AZURE_225/229)</w:t>
            </w:r>
          </w:p>
        </w:tc>
        <w:tc>
          <w:tcPr>
            <w:tcW w:type="dxa" w:w="6192"/>
            <w:shd w:fill="F5F5F5"/>
          </w:tcPr>
          <w:p>
            <w:r/>
            <w:r>
              <w:rPr>
                <w:rFonts w:ascii="Calibri" w:hAnsi="Calibri"/>
                <w:color w:val="333333"/>
                <w:sz w:val="20"/>
              </w:rPr>
              <w:t>Zone redundancy requires Premium-tier App Service Plans and database SKUs. The current B1 deployment tier prioritizes cost-effectiveness. Will be re-evaluated when scaling to a production-grade SLA deployment.</w:t>
            </w:r>
          </w:p>
        </w:tc>
      </w:tr>
      <w:tr>
        <w:tc>
          <w:tcPr>
            <w:tcW w:type="dxa" w:w="3600"/>
          </w:tcPr>
          <w:p>
            <w:r/>
            <w:r>
              <w:rPr>
                <w:rFonts w:ascii="Calibri" w:hAnsi="Calibri"/>
                <w:color w:val="333333"/>
                <w:sz w:val="20"/>
              </w:rPr>
              <w:t>Multi-Instance Failover (CKV_AZURE_212)</w:t>
            </w:r>
          </w:p>
        </w:tc>
        <w:tc>
          <w:tcPr>
            <w:tcW w:type="dxa" w:w="6192"/>
          </w:tcPr>
          <w:p>
            <w:r/>
            <w:r>
              <w:rPr>
                <w:rFonts w:ascii="Calibri" w:hAnsi="Calibri"/>
                <w:color w:val="333333"/>
                <w:sz w:val="20"/>
              </w:rPr>
              <w:t>Single-instance deployment is appropriate for the current user scale. Note: B1 tier does not carry an SLA guarantee. Multi-instance with Standard tier will be configured when production traffic warrants it.</w:t>
            </w:r>
          </w:p>
        </w:tc>
      </w:tr>
      <w:tr>
        <w:tc>
          <w:tcPr>
            <w:tcW w:type="dxa" w:w="3600"/>
            <w:shd w:fill="F5F5F5"/>
          </w:tcPr>
          <w:p>
            <w:r/>
            <w:r>
              <w:rPr>
                <w:rFonts w:ascii="Calibri" w:hAnsi="Calibri"/>
                <w:color w:val="333333"/>
                <w:sz w:val="20"/>
              </w:rPr>
              <w:t>Storage Naming Convention (CKV_AZURE_43)</w:t>
            </w:r>
          </w:p>
        </w:tc>
        <w:tc>
          <w:tcPr>
            <w:tcW w:type="dxa" w:w="6192"/>
            <w:shd w:fill="F5F5F5"/>
          </w:tcPr>
          <w:p>
            <w:r/>
            <w:r>
              <w:rPr>
                <w:rFonts w:ascii="Calibri" w:hAnsi="Calibri"/>
                <w:color w:val="333333"/>
                <w:sz w:val="20"/>
              </w:rPr>
              <w:t>The current naming convention follows the project's established pattern and meets Azure's naming requirements.</w:t>
            </w:r>
          </w:p>
        </w:tc>
      </w:tr>
      <w:tr>
        <w:tc>
          <w:tcPr>
            <w:tcW w:type="dxa" w:w="3600"/>
          </w:tcPr>
          <w:p>
            <w:r/>
            <w:r>
              <w:rPr>
                <w:rFonts w:ascii="Calibri" w:hAnsi="Calibri"/>
                <w:color w:val="333333"/>
                <w:sz w:val="20"/>
              </w:rPr>
              <w:t>Storage Geo-Replication (CKV_AZURE_206)</w:t>
            </w:r>
          </w:p>
        </w:tc>
        <w:tc>
          <w:tcPr>
            <w:tcW w:type="dxa" w:w="6192"/>
          </w:tcPr>
          <w:p>
            <w:r/>
            <w:r>
              <w:rPr>
                <w:rFonts w:ascii="Calibri" w:hAnsi="Calibri"/>
                <w:color w:val="333333"/>
                <w:sz w:val="20"/>
              </w:rPr>
              <w:t>LRS (Locally Redundant Storage) is sufficient for the current deployment. GRS will be evaluated for production disaster recovery requirements.</w:t>
            </w:r>
          </w:p>
        </w:tc>
      </w:tr>
    </w:tbl>
    <w:p/>
    <w:p>
      <w:pPr>
        <w:pStyle w:val="Heading2"/>
      </w:pPr>
      <w:r>
        <w:t>7.3 Remediation Priorities</w:t>
      </w:r>
    </w:p>
    <w:p>
      <w:r>
        <w:rPr>
          <w:rFonts w:ascii="Calibri" w:hAnsi="Calibri"/>
          <w:color w:val="333333"/>
          <w:sz w:val="22"/>
        </w:rPr>
        <w:t>The following table outlines the planned remediation timeline for findings not already mitigated or accepted. This static report captures the remediation plan at a point in time. Live tracking of remediation progress is maintained in the project's GitHub Issues (label: security-report) and project board. The authoritative status of any remediation item should be verified against the issue tracker, not this document.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1E3A5F"/>
          </w:tcPr>
          <w:p>
            <w:pPr>
              <w:jc w:val="left"/>
            </w:pPr>
            <w:r/>
            <w:r>
              <w:rPr>
                <w:rFonts w:ascii="Calibri" w:hAnsi="Calibri"/>
                <w:b/>
                <w:color w:val="FFFFFF"/>
                <w:sz w:val="20"/>
              </w:rPr>
              <w:t>Priority</w:t>
            </w:r>
          </w:p>
        </w:tc>
        <w:tc>
          <w:tcPr>
            <w:tcW w:type="dxa" w:w="4608"/>
            <w:shd w:fill="1E3A5F"/>
          </w:tcPr>
          <w:p>
            <w:pPr>
              <w:jc w:val="left"/>
            </w:pPr>
            <w:r/>
            <w:r>
              <w:rPr>
                <w:rFonts w:ascii="Calibri" w:hAnsi="Calibri"/>
                <w:b/>
                <w:color w:val="FFFFFF"/>
                <w:sz w:val="20"/>
              </w:rPr>
              <w:t>Finding</w:t>
            </w:r>
          </w:p>
        </w:tc>
        <w:tc>
          <w:tcPr>
            <w:tcW w:type="dxa" w:w="1440"/>
            <w:shd w:fill="1E3A5F"/>
          </w:tcPr>
          <w:p>
            <w:pPr>
              <w:jc w:val="left"/>
            </w:pPr>
            <w:r/>
            <w:r>
              <w:rPr>
                <w:rFonts w:ascii="Calibri" w:hAnsi="Calibri"/>
                <w:b/>
                <w:color w:val="FFFFFF"/>
                <w:sz w:val="20"/>
              </w:rPr>
              <w:t>Target</w:t>
            </w:r>
          </w:p>
        </w:tc>
        <w:tc>
          <w:tcPr>
            <w:tcW w:type="dxa" w:w="2160"/>
            <w:shd w:fill="1E3A5F"/>
          </w:tcPr>
          <w:p>
            <w:pPr>
              <w:jc w:val="left"/>
            </w:pPr>
            <w:r/>
            <w:r>
              <w:rPr>
                <w:rFonts w:ascii="Calibri" w:hAnsi="Calibri"/>
                <w:b/>
                <w:color w:val="FFFFFF"/>
                <w:sz w:val="20"/>
              </w:rPr>
              <w:t>Owner</w:t>
            </w:r>
          </w:p>
        </w:tc>
      </w:tr>
      <w:tr>
        <w:tc>
          <w:tcPr>
            <w:tcW w:type="dxa" w:w="1152"/>
          </w:tcPr>
          <w:p>
            <w:r/>
            <w:r>
              <w:rPr>
                <w:rFonts w:ascii="Calibri" w:hAnsi="Calibri"/>
                <w:color w:val="333333"/>
                <w:sz w:val="20"/>
              </w:rPr>
              <w:t>Medium</w:t>
            </w:r>
          </w:p>
        </w:tc>
        <w:tc>
          <w:tcPr>
            <w:tcW w:type="dxa" w:w="4608"/>
          </w:tcPr>
          <w:p>
            <w:r/>
            <w:r>
              <w:rPr>
                <w:rFonts w:ascii="Calibri" w:hAnsi="Calibri"/>
                <w:color w:val="333333"/>
                <w:sz w:val="20"/>
              </w:rPr>
              <w:t>Configure Entra ID SQL Auth (CKV2_AZURE_27)</w:t>
            </w:r>
          </w:p>
        </w:tc>
        <w:tc>
          <w:tcPr>
            <w:tcW w:type="dxa" w:w="1440"/>
          </w:tcPr>
          <w:p>
            <w:r/>
            <w:r>
              <w:rPr>
                <w:rFonts w:ascii="Calibri" w:hAnsi="Calibri"/>
                <w:color w:val="333333"/>
                <w:sz w:val="20"/>
              </w:rPr>
              <w:t>Q2 2026</w:t>
            </w:r>
          </w:p>
        </w:tc>
        <w:tc>
          <w:tcPr>
            <w:tcW w:type="dxa" w:w="2160"/>
          </w:tcPr>
          <w:p>
            <w:r/>
            <w:r>
              <w:rPr>
                <w:rFonts w:ascii="Calibri" w:hAnsi="Calibri"/>
                <w:color w:val="333333"/>
                <w:sz w:val="20"/>
              </w:rPr>
              <w:t>Infrastructure</w:t>
            </w:r>
          </w:p>
        </w:tc>
      </w:tr>
      <w:tr>
        <w:tc>
          <w:tcPr>
            <w:tcW w:type="dxa" w:w="1152"/>
            <w:shd w:fill="F5F5F5"/>
          </w:tcPr>
          <w:p>
            <w:r/>
            <w:r>
              <w:rPr>
                <w:rFonts w:ascii="Calibri" w:hAnsi="Calibri"/>
                <w:color w:val="333333"/>
                <w:sz w:val="20"/>
              </w:rPr>
              <w:t>Medium</w:t>
            </w:r>
          </w:p>
        </w:tc>
        <w:tc>
          <w:tcPr>
            <w:tcW w:type="dxa" w:w="4608"/>
            <w:shd w:fill="F5F5F5"/>
          </w:tcPr>
          <w:p>
            <w:r/>
            <w:r>
              <w:rPr>
                <w:rFonts w:ascii="Calibri" w:hAnsi="Calibri"/>
                <w:color w:val="333333"/>
                <w:sz w:val="20"/>
              </w:rPr>
              <w:t>Restrict SQL Server Public Access (CKV_AZURE_113)</w:t>
            </w:r>
          </w:p>
        </w:tc>
        <w:tc>
          <w:tcPr>
            <w:tcW w:type="dxa" w:w="1440"/>
            <w:shd w:fill="F5F5F5"/>
          </w:tcPr>
          <w:p>
            <w:r/>
            <w:r>
              <w:rPr>
                <w:rFonts w:ascii="Calibri" w:hAnsi="Calibri"/>
                <w:color w:val="333333"/>
                <w:sz w:val="20"/>
              </w:rPr>
              <w:t>Q2 2026</w:t>
            </w:r>
          </w:p>
        </w:tc>
        <w:tc>
          <w:tcPr>
            <w:tcW w:type="dxa" w:w="2160"/>
            <w:shd w:fill="F5F5F5"/>
          </w:tcPr>
          <w:p>
            <w:r/>
            <w:r>
              <w:rPr>
                <w:rFonts w:ascii="Calibri" w:hAnsi="Calibri"/>
                <w:color w:val="333333"/>
                <w:sz w:val="20"/>
              </w:rPr>
              <w:t>Infrastructure</w:t>
            </w:r>
          </w:p>
        </w:tc>
      </w:tr>
      <w:tr>
        <w:tc>
          <w:tcPr>
            <w:tcW w:type="dxa" w:w="1152"/>
          </w:tcPr>
          <w:p>
            <w:r/>
            <w:r>
              <w:rPr>
                <w:rFonts w:ascii="Calibri" w:hAnsi="Calibri"/>
                <w:color w:val="333333"/>
                <w:sz w:val="20"/>
              </w:rPr>
              <w:t>Medium</w:t>
            </w:r>
          </w:p>
        </w:tc>
        <w:tc>
          <w:tcPr>
            <w:tcW w:type="dxa" w:w="4608"/>
          </w:tcPr>
          <w:p>
            <w:r/>
            <w:r>
              <w:rPr>
                <w:rFonts w:ascii="Calibri" w:hAnsi="Calibri"/>
                <w:color w:val="333333"/>
                <w:sz w:val="20"/>
              </w:rPr>
              <w:t>Restrict App Service Public Access (CKV_AZURE_222)</w:t>
            </w:r>
          </w:p>
        </w:tc>
        <w:tc>
          <w:tcPr>
            <w:tcW w:type="dxa" w:w="1440"/>
          </w:tcPr>
          <w:p>
            <w:r/>
            <w:r>
              <w:rPr>
                <w:rFonts w:ascii="Calibri" w:hAnsi="Calibri"/>
                <w:color w:val="333333"/>
                <w:sz w:val="20"/>
              </w:rPr>
              <w:t>Q2 2026</w:t>
            </w:r>
          </w:p>
        </w:tc>
        <w:tc>
          <w:tcPr>
            <w:tcW w:type="dxa" w:w="2160"/>
          </w:tcPr>
          <w:p>
            <w:r/>
            <w:r>
              <w:rPr>
                <w:rFonts w:ascii="Calibri" w:hAnsi="Calibri"/>
                <w:color w:val="333333"/>
                <w:sz w:val="20"/>
              </w:rPr>
              <w:t>Infrastructure</w:t>
            </w:r>
          </w:p>
        </w:tc>
      </w:tr>
      <w:tr>
        <w:tc>
          <w:tcPr>
            <w:tcW w:type="dxa" w:w="1152"/>
            <w:shd w:fill="F5F5F5"/>
          </w:tcPr>
          <w:p>
            <w:r/>
            <w:r>
              <w:rPr>
                <w:rFonts w:ascii="Calibri" w:hAnsi="Calibri"/>
                <w:color w:val="333333"/>
                <w:sz w:val="20"/>
              </w:rPr>
              <w:t>Medium</w:t>
            </w:r>
          </w:p>
        </w:tc>
        <w:tc>
          <w:tcPr>
            <w:tcW w:type="dxa" w:w="4608"/>
            <w:shd w:fill="F5F5F5"/>
          </w:tcPr>
          <w:p>
            <w:r/>
            <w:r>
              <w:rPr>
                <w:rFonts w:ascii="Calibri" w:hAnsi="Calibri"/>
                <w:color w:val="333333"/>
                <w:sz w:val="20"/>
              </w:rPr>
              <w:t>Implement refresh token rotation and token revocation</w:t>
            </w:r>
          </w:p>
        </w:tc>
        <w:tc>
          <w:tcPr>
            <w:tcW w:type="dxa" w:w="1440"/>
            <w:shd w:fill="F5F5F5"/>
          </w:tcPr>
          <w:p>
            <w:r/>
            <w:r>
              <w:rPr>
                <w:rFonts w:ascii="Calibri" w:hAnsi="Calibri"/>
                <w:color w:val="333333"/>
                <w:sz w:val="20"/>
              </w:rPr>
              <w:t>Q3 2026</w:t>
            </w:r>
          </w:p>
        </w:tc>
        <w:tc>
          <w:tcPr>
            <w:tcW w:type="dxa" w:w="2160"/>
            <w:shd w:fill="F5F5F5"/>
          </w:tcPr>
          <w:p>
            <w:r/>
            <w:r>
              <w:rPr>
                <w:rFonts w:ascii="Calibri" w:hAnsi="Calibri"/>
                <w:color w:val="333333"/>
                <w:sz w:val="20"/>
              </w:rPr>
              <w:t>Backend</w:t>
            </w:r>
          </w:p>
        </w:tc>
      </w:tr>
      <w:tr>
        <w:tc>
          <w:tcPr>
            <w:tcW w:type="dxa" w:w="1152"/>
          </w:tcPr>
          <w:p>
            <w:r/>
            <w:r>
              <w:rPr>
                <w:rFonts w:ascii="Calibri" w:hAnsi="Calibri"/>
                <w:color w:val="333333"/>
                <w:sz w:val="20"/>
              </w:rPr>
              <w:t>Medium</w:t>
            </w:r>
          </w:p>
        </w:tc>
        <w:tc>
          <w:tcPr>
            <w:tcW w:type="dxa" w:w="4608"/>
          </w:tcPr>
          <w:p>
            <w:r/>
            <w:r>
              <w:rPr>
                <w:rFonts w:ascii="Calibri" w:hAnsi="Calibri"/>
                <w:color w:val="333333"/>
                <w:sz w:val="20"/>
              </w:rPr>
              <w:t>Migrate secrets to Azure Key Vault</w:t>
            </w:r>
          </w:p>
        </w:tc>
        <w:tc>
          <w:tcPr>
            <w:tcW w:type="dxa" w:w="1440"/>
          </w:tcPr>
          <w:p>
            <w:r/>
            <w:r>
              <w:rPr>
                <w:rFonts w:ascii="Calibri" w:hAnsi="Calibri"/>
                <w:color w:val="333333"/>
                <w:sz w:val="20"/>
              </w:rPr>
              <w:t>Q2 2026</w:t>
            </w:r>
          </w:p>
        </w:tc>
        <w:tc>
          <w:tcPr>
            <w:tcW w:type="dxa" w:w="2160"/>
          </w:tcPr>
          <w:p>
            <w:r/>
            <w:r>
              <w:rPr>
                <w:rFonts w:ascii="Calibri" w:hAnsi="Calibri"/>
                <w:color w:val="333333"/>
                <w:sz w:val="20"/>
              </w:rPr>
              <w:t>Infrastructure</w:t>
            </w:r>
          </w:p>
        </w:tc>
      </w:tr>
      <w:tr>
        <w:tc>
          <w:tcPr>
            <w:tcW w:type="dxa" w:w="1152"/>
            <w:shd w:fill="F5F5F5"/>
          </w:tcPr>
          <w:p>
            <w:r/>
            <w:r>
              <w:rPr>
                <w:rFonts w:ascii="Calibri" w:hAnsi="Calibri"/>
                <w:color w:val="333333"/>
                <w:sz w:val="20"/>
              </w:rPr>
              <w:t>Low</w:t>
            </w:r>
          </w:p>
        </w:tc>
        <w:tc>
          <w:tcPr>
            <w:tcW w:type="dxa" w:w="4608"/>
            <w:shd w:fill="F5F5F5"/>
          </w:tcPr>
          <w:p>
            <w:r/>
            <w:r>
              <w:rPr>
                <w:rFonts w:ascii="Calibri" w:hAnsi="Calibri"/>
                <w:color w:val="333333"/>
                <w:sz w:val="20"/>
              </w:rPr>
              <w:t>Configure Security Contact Alerts (CKV_AZURE_20-22/26-27)</w:t>
            </w:r>
          </w:p>
        </w:tc>
        <w:tc>
          <w:tcPr>
            <w:tcW w:type="dxa" w:w="1440"/>
            <w:shd w:fill="F5F5F5"/>
          </w:tcPr>
          <w:p>
            <w:r/>
            <w:r>
              <w:rPr>
                <w:rFonts w:ascii="Calibri" w:hAnsi="Calibri"/>
                <w:color w:val="333333"/>
                <w:sz w:val="20"/>
              </w:rPr>
              <w:t>Q2 2026</w:t>
            </w:r>
          </w:p>
        </w:tc>
        <w:tc>
          <w:tcPr>
            <w:tcW w:type="dxa" w:w="2160"/>
            <w:shd w:fill="F5F5F5"/>
          </w:tcPr>
          <w:p>
            <w:r/>
            <w:r>
              <w:rPr>
                <w:rFonts w:ascii="Calibri" w:hAnsi="Calibri"/>
                <w:color w:val="333333"/>
                <w:sz w:val="20"/>
              </w:rPr>
              <w:t>Infrastructure</w:t>
            </w:r>
          </w:p>
        </w:tc>
      </w:tr>
      <w:tr>
        <w:tc>
          <w:tcPr>
            <w:tcW w:type="dxa" w:w="1152"/>
          </w:tcPr>
          <w:p>
            <w:r/>
            <w:r>
              <w:rPr>
                <w:rFonts w:ascii="Calibri" w:hAnsi="Calibri"/>
                <w:color w:val="333333"/>
                <w:sz w:val="20"/>
              </w:rPr>
              <w:t>Low</w:t>
            </w:r>
          </w:p>
        </w:tc>
        <w:tc>
          <w:tcPr>
            <w:tcW w:type="dxa" w:w="4608"/>
          </w:tcPr>
          <w:p>
            <w:r/>
            <w:r>
              <w:rPr>
                <w:rFonts w:ascii="Calibri" w:hAnsi="Calibri"/>
                <w:color w:val="333333"/>
                <w:sz w:val="20"/>
              </w:rPr>
              <w:t>Enable HTTP/2 (CKV_AZURE_18/67)</w:t>
            </w:r>
          </w:p>
        </w:tc>
        <w:tc>
          <w:tcPr>
            <w:tcW w:type="dxa" w:w="1440"/>
          </w:tcPr>
          <w:p>
            <w:r/>
            <w:r>
              <w:rPr>
                <w:rFonts w:ascii="Calibri" w:hAnsi="Calibri"/>
                <w:color w:val="333333"/>
                <w:sz w:val="20"/>
              </w:rPr>
              <w:t>Q2 2026</w:t>
            </w:r>
          </w:p>
        </w:tc>
        <w:tc>
          <w:tcPr>
            <w:tcW w:type="dxa" w:w="2160"/>
          </w:tcPr>
          <w:p>
            <w:r/>
            <w:r>
              <w:rPr>
                <w:rFonts w:ascii="Calibri" w:hAnsi="Calibri"/>
                <w:color w:val="333333"/>
                <w:sz w:val="20"/>
              </w:rPr>
              <w:t>Infrastructure</w:t>
            </w:r>
          </w:p>
        </w:tc>
      </w:tr>
      <w:tr>
        <w:tc>
          <w:tcPr>
            <w:tcW w:type="dxa" w:w="1152"/>
            <w:shd w:fill="F5F5F5"/>
          </w:tcPr>
          <w:p>
            <w:r/>
            <w:r>
              <w:rPr>
                <w:rFonts w:ascii="Calibri" w:hAnsi="Calibri"/>
                <w:color w:val="333333"/>
                <w:sz w:val="20"/>
              </w:rPr>
              <w:t>Low</w:t>
            </w:r>
          </w:p>
        </w:tc>
        <w:tc>
          <w:tcPr>
            <w:tcW w:type="dxa" w:w="4608"/>
            <w:shd w:fill="F5F5F5"/>
          </w:tcPr>
          <w:p>
            <w:r/>
            <w:r>
              <w:rPr>
                <w:rFonts w:ascii="Calibri" w:hAnsi="Calibri"/>
                <w:color w:val="333333"/>
                <w:sz w:val="20"/>
              </w:rPr>
              <w:t>Configure Health Check (CKV_AZURE_213)</w:t>
            </w:r>
          </w:p>
        </w:tc>
        <w:tc>
          <w:tcPr>
            <w:tcW w:type="dxa" w:w="1440"/>
            <w:shd w:fill="F5F5F5"/>
          </w:tcPr>
          <w:p>
            <w:r/>
            <w:r>
              <w:rPr>
                <w:rFonts w:ascii="Calibri" w:hAnsi="Calibri"/>
                <w:color w:val="333333"/>
                <w:sz w:val="20"/>
              </w:rPr>
              <w:t>Q2 2026</w:t>
            </w:r>
          </w:p>
        </w:tc>
        <w:tc>
          <w:tcPr>
            <w:tcW w:type="dxa" w:w="2160"/>
            <w:shd w:fill="F5F5F5"/>
          </w:tcPr>
          <w:p>
            <w:r/>
            <w:r>
              <w:rPr>
                <w:rFonts w:ascii="Calibri" w:hAnsi="Calibri"/>
                <w:color w:val="333333"/>
                <w:sz w:val="20"/>
              </w:rPr>
              <w:t>Infrastructure</w:t>
            </w:r>
          </w:p>
        </w:tc>
      </w:tr>
      <w:tr>
        <w:tc>
          <w:tcPr>
            <w:tcW w:type="dxa" w:w="1152"/>
          </w:tcPr>
          <w:p>
            <w:r/>
            <w:r>
              <w:rPr>
                <w:rFonts w:ascii="Calibri" w:hAnsi="Calibri"/>
                <w:color w:val="333333"/>
                <w:sz w:val="20"/>
              </w:rPr>
              <w:t>Low</w:t>
            </w:r>
          </w:p>
        </w:tc>
        <w:tc>
          <w:tcPr>
            <w:tcW w:type="dxa" w:w="4608"/>
          </w:tcPr>
          <w:p>
            <w:r/>
            <w:r>
              <w:rPr>
                <w:rFonts w:ascii="Calibri" w:hAnsi="Calibri"/>
                <w:color w:val="333333"/>
                <w:sz w:val="20"/>
              </w:rPr>
              <w:t>Enable Entra ID Registration (CKV_AZURE_16)</w:t>
            </w:r>
          </w:p>
        </w:tc>
        <w:tc>
          <w:tcPr>
            <w:tcW w:type="dxa" w:w="1440"/>
          </w:tcPr>
          <w:p>
            <w:r/>
            <w:r>
              <w:rPr>
                <w:rFonts w:ascii="Calibri" w:hAnsi="Calibri"/>
                <w:color w:val="333333"/>
                <w:sz w:val="20"/>
              </w:rPr>
              <w:t>Q3 2026</w:t>
            </w:r>
          </w:p>
        </w:tc>
        <w:tc>
          <w:tcPr>
            <w:tcW w:type="dxa" w:w="2160"/>
          </w:tcPr>
          <w:p>
            <w:r/>
            <w:r>
              <w:rPr>
                <w:rFonts w:ascii="Calibri" w:hAnsi="Calibri"/>
                <w:color w:val="333333"/>
                <w:sz w:val="20"/>
              </w:rPr>
              <w:t>Infrastructure</w:t>
            </w:r>
          </w:p>
        </w:tc>
      </w:tr>
      <w:tr>
        <w:tc>
          <w:tcPr>
            <w:tcW w:type="dxa" w:w="1152"/>
            <w:shd w:fill="F5F5F5"/>
          </w:tcPr>
          <w:p>
            <w:r/>
            <w:r>
              <w:rPr>
                <w:rFonts w:ascii="Calibri" w:hAnsi="Calibri"/>
                <w:color w:val="333333"/>
                <w:sz w:val="20"/>
              </w:rPr>
              <w:t>Low</w:t>
            </w:r>
          </w:p>
        </w:tc>
        <w:tc>
          <w:tcPr>
            <w:tcW w:type="dxa" w:w="4608"/>
            <w:shd w:fill="F5F5F5"/>
          </w:tcPr>
          <w:p>
            <w:r/>
            <w:r>
              <w:rPr>
                <w:rFonts w:ascii="Calibri" w:hAnsi="Calibri"/>
                <w:color w:val="333333"/>
                <w:sz w:val="20"/>
              </w:rPr>
              <w:t>Enable Client Certificates (CKV_AZURE_17)</w:t>
            </w:r>
          </w:p>
        </w:tc>
        <w:tc>
          <w:tcPr>
            <w:tcW w:type="dxa" w:w="1440"/>
            <w:shd w:fill="F5F5F5"/>
          </w:tcPr>
          <w:p>
            <w:r/>
            <w:r>
              <w:rPr>
                <w:rFonts w:ascii="Calibri" w:hAnsi="Calibri"/>
                <w:color w:val="333333"/>
                <w:sz w:val="20"/>
              </w:rPr>
              <w:t>Evaluate</w:t>
            </w:r>
          </w:p>
        </w:tc>
        <w:tc>
          <w:tcPr>
            <w:tcW w:type="dxa" w:w="2160"/>
            <w:shd w:fill="F5F5F5"/>
          </w:tcPr>
          <w:p>
            <w:r/>
            <w:r>
              <w:rPr>
                <w:rFonts w:ascii="Calibri" w:hAnsi="Calibri"/>
                <w:color w:val="333333"/>
                <w:sz w:val="20"/>
              </w:rPr>
              <w:t>Infrastructure</w:t>
            </w:r>
          </w:p>
        </w:tc>
      </w:tr>
    </w:tbl>
    <w:p/>
    <w:p>
      <w:pPr>
        <w:pStyle w:val="Heading2"/>
      </w:pPr>
      <w:r>
        <w:t>7.4 Recommended Additional Assessments</w:t>
      </w:r>
    </w:p>
    <w:p>
      <w:r>
        <w:rPr>
          <w:rFonts w:ascii="Calibri" w:hAnsi="Calibri"/>
          <w:color w:val="333333"/>
          <w:sz w:val="22"/>
        </w:rPr>
        <w:t>The following assessments are recommended to supplement the automated scanning pipeline and address the coverage gaps identified in Section 2.4:</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E3A5F"/>
          </w:tcPr>
          <w:p>
            <w:pPr>
              <w:jc w:val="left"/>
            </w:pPr>
            <w:r/>
            <w:r>
              <w:rPr>
                <w:rFonts w:ascii="Calibri" w:hAnsi="Calibri"/>
                <w:b/>
                <w:color w:val="FFFFFF"/>
                <w:sz w:val="20"/>
              </w:rPr>
              <w:t>Assessment</w:t>
            </w:r>
          </w:p>
        </w:tc>
        <w:tc>
          <w:tcPr>
            <w:tcW w:type="dxa" w:w="4320"/>
            <w:shd w:fill="1E3A5F"/>
          </w:tcPr>
          <w:p>
            <w:pPr>
              <w:jc w:val="left"/>
            </w:pPr>
            <w:r/>
            <w:r>
              <w:rPr>
                <w:rFonts w:ascii="Calibri" w:hAnsi="Calibri"/>
                <w:b/>
                <w:color w:val="FFFFFF"/>
                <w:sz w:val="20"/>
              </w:rPr>
              <w:t>Purpose</w:t>
            </w:r>
          </w:p>
        </w:tc>
        <w:tc>
          <w:tcPr>
            <w:tcW w:type="dxa" w:w="2304"/>
            <w:shd w:fill="1E3A5F"/>
          </w:tcPr>
          <w:p>
            <w:pPr>
              <w:jc w:val="left"/>
            </w:pPr>
            <w:r/>
            <w:r>
              <w:rPr>
                <w:rFonts w:ascii="Calibri" w:hAnsi="Calibri"/>
                <w:b/>
                <w:color w:val="FFFFFF"/>
                <w:sz w:val="20"/>
              </w:rPr>
              <w:t>Recommended Frequency</w:t>
            </w:r>
          </w:p>
        </w:tc>
      </w:tr>
      <w:tr>
        <w:tc>
          <w:tcPr>
            <w:tcW w:type="dxa" w:w="3168"/>
          </w:tcPr>
          <w:p>
            <w:r/>
            <w:r>
              <w:rPr>
                <w:rFonts w:ascii="Calibri" w:hAnsi="Calibri"/>
                <w:color w:val="333333"/>
                <w:sz w:val="20"/>
              </w:rPr>
              <w:t>Manual Penetration Test</w:t>
            </w:r>
          </w:p>
        </w:tc>
        <w:tc>
          <w:tcPr>
            <w:tcW w:type="dxa" w:w="4320"/>
          </w:tcPr>
          <w:p>
            <w:r/>
            <w:r>
              <w:rPr>
                <w:rFonts w:ascii="Calibri" w:hAnsi="Calibri"/>
                <w:color w:val="333333"/>
                <w:sz w:val="20"/>
              </w:rPr>
              <w:t>Identify business logic flaws, authorization bypasses, and chained vulnerabilities that automated tools miss</w:t>
            </w:r>
          </w:p>
        </w:tc>
        <w:tc>
          <w:tcPr>
            <w:tcW w:type="dxa" w:w="2304"/>
          </w:tcPr>
          <w:p>
            <w:r/>
            <w:r>
              <w:rPr>
                <w:rFonts w:ascii="Calibri" w:hAnsi="Calibri"/>
                <w:color w:val="333333"/>
                <w:sz w:val="20"/>
              </w:rPr>
              <w:t>Annually or before major releases</w:t>
            </w:r>
          </w:p>
        </w:tc>
      </w:tr>
      <w:tr>
        <w:tc>
          <w:tcPr>
            <w:tcW w:type="dxa" w:w="3168"/>
            <w:shd w:fill="F5F5F5"/>
          </w:tcPr>
          <w:p>
            <w:r/>
            <w:r>
              <w:rPr>
                <w:rFonts w:ascii="Calibri" w:hAnsi="Calibri"/>
                <w:color w:val="333333"/>
                <w:sz w:val="20"/>
              </w:rPr>
              <w:t>SignalR WebSocket Security Review</w:t>
            </w:r>
          </w:p>
        </w:tc>
        <w:tc>
          <w:tcPr>
            <w:tcW w:type="dxa" w:w="4320"/>
            <w:shd w:fill="F5F5F5"/>
          </w:tcPr>
          <w:p>
            <w:r/>
            <w:r>
              <w:rPr>
                <w:rFonts w:ascii="Calibri" w:hAnsi="Calibri"/>
                <w:color w:val="333333"/>
                <w:sz w:val="20"/>
              </w:rPr>
              <w:t>Test real-time communication layer for injection, DoS, and authorization issues</w:t>
            </w:r>
          </w:p>
        </w:tc>
        <w:tc>
          <w:tcPr>
            <w:tcW w:type="dxa" w:w="2304"/>
            <w:shd w:fill="F5F5F5"/>
          </w:tcPr>
          <w:p>
            <w:r/>
            <w:r>
              <w:rPr>
                <w:rFonts w:ascii="Calibri" w:hAnsi="Calibri"/>
                <w:color w:val="333333"/>
                <w:sz w:val="20"/>
              </w:rPr>
              <w:t>Annually</w:t>
            </w:r>
          </w:p>
        </w:tc>
      </w:tr>
      <w:tr>
        <w:tc>
          <w:tcPr>
            <w:tcW w:type="dxa" w:w="3168"/>
          </w:tcPr>
          <w:p>
            <w:r/>
            <w:r>
              <w:rPr>
                <w:rFonts w:ascii="Calibri" w:hAnsi="Calibri"/>
                <w:color w:val="333333"/>
                <w:sz w:val="20"/>
              </w:rPr>
              <w:t>Horizontal Privilege Escalation Test</w:t>
            </w:r>
          </w:p>
        </w:tc>
        <w:tc>
          <w:tcPr>
            <w:tcW w:type="dxa" w:w="4320"/>
          </w:tcPr>
          <w:p>
            <w:r/>
            <w:r>
              <w:rPr>
                <w:rFonts w:ascii="Calibri" w:hAnsi="Calibri"/>
                <w:color w:val="333333"/>
                <w:sz w:val="20"/>
              </w:rPr>
              <w:t>Verify multi-tenant data isolation using multiple authenticated user contexts</w:t>
            </w:r>
          </w:p>
        </w:tc>
        <w:tc>
          <w:tcPr>
            <w:tcW w:type="dxa" w:w="2304"/>
          </w:tcPr>
          <w:p>
            <w:r/>
            <w:r>
              <w:rPr>
                <w:rFonts w:ascii="Calibri" w:hAnsi="Calibri"/>
                <w:color w:val="333333"/>
                <w:sz w:val="20"/>
              </w:rPr>
              <w:t>Annually</w:t>
            </w:r>
          </w:p>
        </w:tc>
      </w:tr>
      <w:tr>
        <w:tc>
          <w:tcPr>
            <w:tcW w:type="dxa" w:w="3168"/>
            <w:shd w:fill="F5F5F5"/>
          </w:tcPr>
          <w:p>
            <w:r/>
            <w:r>
              <w:rPr>
                <w:rFonts w:ascii="Calibri" w:hAnsi="Calibri"/>
                <w:color w:val="333333"/>
                <w:sz w:val="20"/>
              </w:rPr>
              <w:t>Token Security Audit</w:t>
            </w:r>
          </w:p>
        </w:tc>
        <w:tc>
          <w:tcPr>
            <w:tcW w:type="dxa" w:w="4320"/>
            <w:shd w:fill="F5F5F5"/>
          </w:tcPr>
          <w:p>
            <w:r/>
            <w:r>
              <w:rPr>
                <w:rFonts w:ascii="Calibri" w:hAnsi="Calibri"/>
                <w:color w:val="333333"/>
                <w:sz w:val="20"/>
              </w:rPr>
              <w:t>Evaluate JWT implementation, token lifetime, revocation, and refresh token handling</w:t>
            </w:r>
          </w:p>
        </w:tc>
        <w:tc>
          <w:tcPr>
            <w:tcW w:type="dxa" w:w="2304"/>
            <w:shd w:fill="F5F5F5"/>
          </w:tcPr>
          <w:p>
            <w:r/>
            <w:r>
              <w:rPr>
                <w:rFonts w:ascii="Calibri" w:hAnsi="Calibri"/>
                <w:color w:val="333333"/>
                <w:sz w:val="20"/>
              </w:rPr>
              <w:t>Annually</w:t>
            </w:r>
          </w:p>
        </w:tc>
      </w:tr>
    </w:tbl>
    <w:p/>
    <w:p>
      <w:r>
        <w:br w:type="page"/>
      </w:r>
    </w:p>
    <w:p>
      <w:pPr>
        <w:pStyle w:val="Heading1"/>
      </w:pPr>
      <w:r>
        <w:t>8. Compliance Mapping</w:t>
      </w:r>
    </w:p>
    <w:p>
      <w:pPr>
        <w:pStyle w:val="Heading2"/>
      </w:pPr>
      <w:r>
        <w:t>8.1 OWASP ASVS Mapping</w:t>
      </w:r>
    </w:p>
    <w:p>
      <w:r>
        <w:rPr>
          <w:rFonts w:ascii="Calibri" w:hAnsi="Calibri"/>
          <w:color w:val="333333"/>
          <w:sz w:val="22"/>
        </w:rPr>
        <w:t>The following table maps the security assessment coverage to OWASP Application Security Verification Standard (ASVS)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E3A5F"/>
          </w:tcPr>
          <w:p>
            <w:pPr>
              <w:jc w:val="left"/>
            </w:pPr>
            <w:r/>
            <w:r>
              <w:rPr>
                <w:rFonts w:ascii="Calibri" w:hAnsi="Calibri"/>
                <w:b/>
                <w:color w:val="FFFFFF"/>
                <w:sz w:val="20"/>
              </w:rPr>
              <w:t>ASVS Category</w:t>
            </w:r>
          </w:p>
        </w:tc>
        <w:tc>
          <w:tcPr>
            <w:tcW w:type="dxa" w:w="1008"/>
            <w:shd w:fill="1E3A5F"/>
          </w:tcPr>
          <w:p>
            <w:pPr>
              <w:jc w:val="left"/>
            </w:pPr>
            <w:r/>
            <w:r>
              <w:rPr>
                <w:rFonts w:ascii="Calibri" w:hAnsi="Calibri"/>
                <w:b/>
                <w:color w:val="FFFFFF"/>
                <w:sz w:val="20"/>
              </w:rPr>
              <w:t>Coverage</w:t>
            </w:r>
          </w:p>
        </w:tc>
        <w:tc>
          <w:tcPr>
            <w:tcW w:type="dxa" w:w="3168"/>
            <w:shd w:fill="1E3A5F"/>
          </w:tcPr>
          <w:p>
            <w:pPr>
              <w:jc w:val="left"/>
            </w:pPr>
            <w:r/>
            <w:r>
              <w:rPr>
                <w:rFonts w:ascii="Calibri" w:hAnsi="Calibri"/>
                <w:b/>
                <w:color w:val="FFFFFF"/>
                <w:sz w:val="20"/>
              </w:rPr>
              <w:t>Tools</w:t>
            </w:r>
          </w:p>
        </w:tc>
        <w:tc>
          <w:tcPr>
            <w:tcW w:type="dxa" w:w="3024"/>
            <w:shd w:fill="1E3A5F"/>
          </w:tcPr>
          <w:p>
            <w:pPr>
              <w:jc w:val="left"/>
            </w:pPr>
            <w:r/>
            <w:r>
              <w:rPr>
                <w:rFonts w:ascii="Calibri" w:hAnsi="Calibri"/>
                <w:b/>
                <w:color w:val="FFFFFF"/>
                <w:sz w:val="20"/>
              </w:rPr>
              <w:t>Gaps</w:t>
            </w:r>
          </w:p>
        </w:tc>
      </w:tr>
      <w:tr>
        <w:tc>
          <w:tcPr>
            <w:tcW w:type="dxa" w:w="2592"/>
          </w:tcPr>
          <w:p>
            <w:r/>
            <w:r>
              <w:rPr>
                <w:rFonts w:ascii="Calibri" w:hAnsi="Calibri"/>
                <w:color w:val="333333"/>
                <w:sz w:val="20"/>
              </w:rPr>
              <w:t>V1: Architecture &amp; Design</w:t>
            </w:r>
          </w:p>
        </w:tc>
        <w:tc>
          <w:tcPr>
            <w:tcW w:type="dxa" w:w="1008"/>
          </w:tcPr>
          <w:p>
            <w:r/>
            <w:r>
              <w:rPr>
                <w:rFonts w:ascii="Calibri" w:hAnsi="Calibri"/>
                <w:color w:val="333333"/>
                <w:sz w:val="20"/>
              </w:rPr>
              <w:t>Partial</w:t>
            </w:r>
          </w:p>
        </w:tc>
        <w:tc>
          <w:tcPr>
            <w:tcW w:type="dxa" w:w="3168"/>
          </w:tcPr>
          <w:p>
            <w:r/>
            <w:r>
              <w:rPr>
                <w:rFonts w:ascii="Calibri" w:hAnsi="Calibri"/>
                <w:color w:val="333333"/>
                <w:sz w:val="20"/>
              </w:rPr>
              <w:t>Architecture review, IaC (Checkov)</w:t>
            </w:r>
          </w:p>
        </w:tc>
        <w:tc>
          <w:tcPr>
            <w:tcW w:type="dxa" w:w="3024"/>
          </w:tcPr>
          <w:p>
            <w:r/>
            <w:r>
              <w:rPr>
                <w:rFonts w:ascii="Calibri" w:hAnsi="Calibri"/>
                <w:color w:val="333333"/>
                <w:sz w:val="20"/>
              </w:rPr>
              <w:t>Threat model is developer-authored (Section 2.6), not independently validated</w:t>
            </w:r>
          </w:p>
        </w:tc>
      </w:tr>
      <w:tr>
        <w:tc>
          <w:tcPr>
            <w:tcW w:type="dxa" w:w="2592"/>
            <w:shd w:fill="F5F5F5"/>
          </w:tcPr>
          <w:p>
            <w:r/>
            <w:r>
              <w:rPr>
                <w:rFonts w:ascii="Calibri" w:hAnsi="Calibri"/>
                <w:color w:val="333333"/>
                <w:sz w:val="20"/>
              </w:rPr>
              <w:t>V2: Authentication</w:t>
            </w:r>
          </w:p>
        </w:tc>
        <w:tc>
          <w:tcPr>
            <w:tcW w:type="dxa" w:w="1008"/>
            <w:shd w:fill="F5F5F5"/>
          </w:tcPr>
          <w:p>
            <w:r/>
            <w:r>
              <w:rPr>
                <w:rFonts w:ascii="Calibri" w:hAnsi="Calibri"/>
                <w:color w:val="333333"/>
                <w:sz w:val="20"/>
              </w:rPr>
              <w:t>Partial</w:t>
            </w:r>
          </w:p>
        </w:tc>
        <w:tc>
          <w:tcPr>
            <w:tcW w:type="dxa" w:w="3168"/>
            <w:shd w:fill="F5F5F5"/>
          </w:tcPr>
          <w:p>
            <w:r/>
            <w:r>
              <w:rPr>
                <w:rFonts w:ascii="Calibri" w:hAnsi="Calibri"/>
                <w:color w:val="333333"/>
                <w:sz w:val="20"/>
              </w:rPr>
              <w:t>SAST (Semgrep), DAST (ZAP)</w:t>
            </w:r>
          </w:p>
        </w:tc>
        <w:tc>
          <w:tcPr>
            <w:tcW w:type="dxa" w:w="3024"/>
            <w:shd w:fill="F5F5F5"/>
          </w:tcPr>
          <w:p>
            <w:r/>
            <w:r>
              <w:rPr>
                <w:rFonts w:ascii="Calibri" w:hAnsi="Calibri"/>
                <w:color w:val="333333"/>
                <w:sz w:val="20"/>
              </w:rPr>
              <w:t>No MFA testing, limited token lifecycle review</w:t>
            </w:r>
          </w:p>
        </w:tc>
      </w:tr>
      <w:tr>
        <w:tc>
          <w:tcPr>
            <w:tcW w:type="dxa" w:w="2592"/>
          </w:tcPr>
          <w:p>
            <w:r/>
            <w:r>
              <w:rPr>
                <w:rFonts w:ascii="Calibri" w:hAnsi="Calibri"/>
                <w:color w:val="333333"/>
                <w:sz w:val="20"/>
              </w:rPr>
              <w:t>V3: Session Management</w:t>
            </w:r>
          </w:p>
        </w:tc>
        <w:tc>
          <w:tcPr>
            <w:tcW w:type="dxa" w:w="1008"/>
          </w:tcPr>
          <w:p>
            <w:r/>
            <w:r>
              <w:rPr>
                <w:rFonts w:ascii="Calibri" w:hAnsi="Calibri"/>
                <w:color w:val="333333"/>
                <w:sz w:val="20"/>
              </w:rPr>
              <w:t>Partial</w:t>
            </w:r>
          </w:p>
        </w:tc>
        <w:tc>
          <w:tcPr>
            <w:tcW w:type="dxa" w:w="3168"/>
          </w:tcPr>
          <w:p>
            <w:r/>
            <w:r>
              <w:rPr>
                <w:rFonts w:ascii="Calibri" w:hAnsi="Calibri"/>
                <w:color w:val="333333"/>
                <w:sz w:val="20"/>
              </w:rPr>
              <w:t>DAST (ZAP baseline)</w:t>
            </w:r>
          </w:p>
        </w:tc>
        <w:tc>
          <w:tcPr>
            <w:tcW w:type="dxa" w:w="3024"/>
          </w:tcPr>
          <w:p>
            <w:r/>
            <w:r>
              <w:rPr>
                <w:rFonts w:ascii="Calibri" w:hAnsi="Calibri"/>
                <w:color w:val="333333"/>
                <w:sz w:val="20"/>
              </w:rPr>
              <w:t>No refresh token or session invalidation testing</w:t>
            </w:r>
          </w:p>
        </w:tc>
      </w:tr>
      <w:tr>
        <w:tc>
          <w:tcPr>
            <w:tcW w:type="dxa" w:w="2592"/>
            <w:shd w:fill="F5F5F5"/>
          </w:tcPr>
          <w:p>
            <w:r/>
            <w:r>
              <w:rPr>
                <w:rFonts w:ascii="Calibri" w:hAnsi="Calibri"/>
                <w:color w:val="333333"/>
                <w:sz w:val="20"/>
              </w:rPr>
              <w:t>V4: Access Control</w:t>
            </w:r>
          </w:p>
        </w:tc>
        <w:tc>
          <w:tcPr>
            <w:tcW w:type="dxa" w:w="1008"/>
            <w:shd w:fill="F5F5F5"/>
          </w:tcPr>
          <w:p>
            <w:r/>
            <w:r>
              <w:rPr>
                <w:rFonts w:ascii="Calibri" w:hAnsi="Calibri"/>
                <w:color w:val="333333"/>
                <w:sz w:val="20"/>
              </w:rPr>
              <w:t>Partial</w:t>
            </w:r>
          </w:p>
        </w:tc>
        <w:tc>
          <w:tcPr>
            <w:tcW w:type="dxa" w:w="3168"/>
            <w:shd w:fill="F5F5F5"/>
          </w:tcPr>
          <w:p>
            <w:r/>
            <w:r>
              <w:rPr>
                <w:rFonts w:ascii="Calibri" w:hAnsi="Calibri"/>
                <w:color w:val="333333"/>
                <w:sz w:val="20"/>
              </w:rPr>
              <w:t>SAST (Semgrep), architecture review</w:t>
            </w:r>
          </w:p>
        </w:tc>
        <w:tc>
          <w:tcPr>
            <w:tcW w:type="dxa" w:w="3024"/>
            <w:shd w:fill="F5F5F5"/>
          </w:tcPr>
          <w:p>
            <w:r/>
            <w:r>
              <w:rPr>
                <w:rFonts w:ascii="Calibri" w:hAnsi="Calibri"/>
                <w:color w:val="333333"/>
                <w:sz w:val="20"/>
              </w:rPr>
              <w:t>No horizontal/vertical privilege escalation testing</w:t>
            </w:r>
          </w:p>
        </w:tc>
      </w:tr>
      <w:tr>
        <w:tc>
          <w:tcPr>
            <w:tcW w:type="dxa" w:w="2592"/>
          </w:tcPr>
          <w:p>
            <w:r/>
            <w:r>
              <w:rPr>
                <w:rFonts w:ascii="Calibri" w:hAnsi="Calibri"/>
                <w:color w:val="333333"/>
                <w:sz w:val="20"/>
              </w:rPr>
              <w:t>V5: Validation &amp; Encoding</w:t>
            </w:r>
          </w:p>
        </w:tc>
        <w:tc>
          <w:tcPr>
            <w:tcW w:type="dxa" w:w="1008"/>
          </w:tcPr>
          <w:p>
            <w:r/>
            <w:r>
              <w:rPr>
                <w:rFonts w:ascii="Calibri" w:hAnsi="Calibri"/>
                <w:color w:val="333333"/>
                <w:sz w:val="20"/>
              </w:rPr>
              <w:t>Covered</w:t>
            </w:r>
          </w:p>
        </w:tc>
        <w:tc>
          <w:tcPr>
            <w:tcW w:type="dxa" w:w="3168"/>
          </w:tcPr>
          <w:p>
            <w:r/>
            <w:r>
              <w:rPr>
                <w:rFonts w:ascii="Calibri" w:hAnsi="Calibri"/>
                <w:color w:val="333333"/>
                <w:sz w:val="20"/>
              </w:rPr>
              <w:t>SAST (Semgrep), DAST (ZAP active)</w:t>
            </w:r>
          </w:p>
        </w:tc>
        <w:tc>
          <w:tcPr>
            <w:tcW w:type="dxa" w:w="3024"/>
          </w:tcPr>
          <w:p>
            <w:r/>
            <w:r>
              <w:rPr>
                <w:rFonts w:ascii="Calibri" w:hAnsi="Calibri"/>
                <w:color w:val="333333"/>
                <w:sz w:val="20"/>
              </w:rPr>
            </w:r>
          </w:p>
        </w:tc>
      </w:tr>
      <w:tr>
        <w:tc>
          <w:tcPr>
            <w:tcW w:type="dxa" w:w="2592"/>
            <w:shd w:fill="F5F5F5"/>
          </w:tcPr>
          <w:p>
            <w:r/>
            <w:r>
              <w:rPr>
                <w:rFonts w:ascii="Calibri" w:hAnsi="Calibri"/>
                <w:color w:val="333333"/>
                <w:sz w:val="20"/>
              </w:rPr>
              <w:t>V6: Cryptography</w:t>
            </w:r>
          </w:p>
        </w:tc>
        <w:tc>
          <w:tcPr>
            <w:tcW w:type="dxa" w:w="1008"/>
            <w:shd w:fill="F5F5F5"/>
          </w:tcPr>
          <w:p>
            <w:r/>
            <w:r>
              <w:rPr>
                <w:rFonts w:ascii="Calibri" w:hAnsi="Calibri"/>
                <w:color w:val="333333"/>
                <w:sz w:val="20"/>
              </w:rPr>
              <w:t>Partial</w:t>
            </w:r>
          </w:p>
        </w:tc>
        <w:tc>
          <w:tcPr>
            <w:tcW w:type="dxa" w:w="3168"/>
            <w:shd w:fill="F5F5F5"/>
          </w:tcPr>
          <w:p>
            <w:r/>
            <w:r>
              <w:rPr>
                <w:rFonts w:ascii="Calibri" w:hAnsi="Calibri"/>
                <w:color w:val="333333"/>
                <w:sz w:val="20"/>
              </w:rPr>
              <w:t>SAST (secret detection), IaC (encryption)</w:t>
            </w:r>
          </w:p>
        </w:tc>
        <w:tc>
          <w:tcPr>
            <w:tcW w:type="dxa" w:w="3024"/>
            <w:shd w:fill="F5F5F5"/>
          </w:tcPr>
          <w:p>
            <w:r/>
            <w:r>
              <w:rPr>
                <w:rFonts w:ascii="Calibri" w:hAnsi="Calibri"/>
                <w:color w:val="333333"/>
                <w:sz w:val="20"/>
              </w:rPr>
              <w:t>No key rotation or crypto implementation review</w:t>
            </w:r>
          </w:p>
        </w:tc>
      </w:tr>
      <w:tr>
        <w:tc>
          <w:tcPr>
            <w:tcW w:type="dxa" w:w="2592"/>
          </w:tcPr>
          <w:p>
            <w:r/>
            <w:r>
              <w:rPr>
                <w:rFonts w:ascii="Calibri" w:hAnsi="Calibri"/>
                <w:color w:val="333333"/>
                <w:sz w:val="20"/>
              </w:rPr>
              <w:t>V7: Error Handling &amp; Logging</w:t>
            </w:r>
          </w:p>
        </w:tc>
        <w:tc>
          <w:tcPr>
            <w:tcW w:type="dxa" w:w="1008"/>
          </w:tcPr>
          <w:p>
            <w:r/>
            <w:r>
              <w:rPr>
                <w:rFonts w:ascii="Calibri" w:hAnsi="Calibri"/>
                <w:color w:val="333333"/>
                <w:sz w:val="20"/>
              </w:rPr>
              <w:t>Partial</w:t>
            </w:r>
          </w:p>
        </w:tc>
        <w:tc>
          <w:tcPr>
            <w:tcW w:type="dxa" w:w="3168"/>
          </w:tcPr>
          <w:p>
            <w:r/>
            <w:r>
              <w:rPr>
                <w:rFonts w:ascii="Calibri" w:hAnsi="Calibri"/>
                <w:color w:val="333333"/>
                <w:sz w:val="20"/>
              </w:rPr>
              <w:t>IaC (Checkov auditing checks)</w:t>
            </w:r>
          </w:p>
        </w:tc>
        <w:tc>
          <w:tcPr>
            <w:tcW w:type="dxa" w:w="3024"/>
          </w:tcPr>
          <w:p>
            <w:r/>
            <w:r>
              <w:rPr>
                <w:rFonts w:ascii="Calibri" w:hAnsi="Calibri"/>
                <w:color w:val="333333"/>
                <w:sz w:val="20"/>
              </w:rPr>
              <w:t>App-level audit logging partial; SQL auditing now enabled (CKV_AZURE_23 mitigated)</w:t>
            </w:r>
          </w:p>
        </w:tc>
      </w:tr>
      <w:tr>
        <w:tc>
          <w:tcPr>
            <w:tcW w:type="dxa" w:w="2592"/>
            <w:shd w:fill="F5F5F5"/>
          </w:tcPr>
          <w:p>
            <w:r/>
            <w:r>
              <w:rPr>
                <w:rFonts w:ascii="Calibri" w:hAnsi="Calibri"/>
                <w:color w:val="333333"/>
                <w:sz w:val="20"/>
              </w:rPr>
              <w:t>V8: Data Protection</w:t>
            </w:r>
          </w:p>
        </w:tc>
        <w:tc>
          <w:tcPr>
            <w:tcW w:type="dxa" w:w="1008"/>
            <w:shd w:fill="F5F5F5"/>
          </w:tcPr>
          <w:p>
            <w:r/>
            <w:r>
              <w:rPr>
                <w:rFonts w:ascii="Calibri" w:hAnsi="Calibri"/>
                <w:color w:val="333333"/>
                <w:sz w:val="20"/>
              </w:rPr>
              <w:t>Partial</w:t>
            </w:r>
          </w:p>
        </w:tc>
        <w:tc>
          <w:tcPr>
            <w:tcW w:type="dxa" w:w="3168"/>
            <w:shd w:fill="F5F5F5"/>
          </w:tcPr>
          <w:p>
            <w:r/>
            <w:r>
              <w:rPr>
                <w:rFonts w:ascii="Calibri" w:hAnsi="Calibri"/>
                <w:color w:val="333333"/>
                <w:sz w:val="20"/>
              </w:rPr>
              <w:t>SAST (Semgrep), IaC (Checkov)</w:t>
            </w:r>
          </w:p>
        </w:tc>
        <w:tc>
          <w:tcPr>
            <w:tcW w:type="dxa" w:w="3024"/>
            <w:shd w:fill="F5F5F5"/>
          </w:tcPr>
          <w:p>
            <w:r/>
            <w:r>
              <w:rPr>
                <w:rFonts w:ascii="Calibri" w:hAnsi="Calibri"/>
                <w:color w:val="333333"/>
                <w:sz w:val="20"/>
              </w:rPr>
              <w:t>No data classification scheme defined</w:t>
            </w:r>
          </w:p>
        </w:tc>
      </w:tr>
      <w:tr>
        <w:tc>
          <w:tcPr>
            <w:tcW w:type="dxa" w:w="2592"/>
          </w:tcPr>
          <w:p>
            <w:r/>
            <w:r>
              <w:rPr>
                <w:rFonts w:ascii="Calibri" w:hAnsi="Calibri"/>
                <w:color w:val="333333"/>
                <w:sz w:val="20"/>
              </w:rPr>
              <w:t>V9: Communication</w:t>
            </w:r>
          </w:p>
        </w:tc>
        <w:tc>
          <w:tcPr>
            <w:tcW w:type="dxa" w:w="1008"/>
          </w:tcPr>
          <w:p>
            <w:r/>
            <w:r>
              <w:rPr>
                <w:rFonts w:ascii="Calibri" w:hAnsi="Calibri"/>
                <w:color w:val="333333"/>
                <w:sz w:val="20"/>
              </w:rPr>
              <w:t>Partial</w:t>
            </w:r>
          </w:p>
        </w:tc>
        <w:tc>
          <w:tcPr>
            <w:tcW w:type="dxa" w:w="3168"/>
          </w:tcPr>
          <w:p>
            <w:r/>
            <w:r>
              <w:rPr>
                <w:rFonts w:ascii="Calibri" w:hAnsi="Calibri"/>
                <w:color w:val="333333"/>
                <w:sz w:val="20"/>
              </w:rPr>
              <w:t>DAST (ZAP TLS checks)</w:t>
            </w:r>
          </w:p>
        </w:tc>
        <w:tc>
          <w:tcPr>
            <w:tcW w:type="dxa" w:w="3024"/>
          </w:tcPr>
          <w:p>
            <w:r/>
            <w:r>
              <w:rPr>
                <w:rFonts w:ascii="Calibri" w:hAnsi="Calibri"/>
                <w:color w:val="333333"/>
                <w:sz w:val="20"/>
              </w:rPr>
              <w:t>HSTS now configured (zap-10035 mitigated); SignalR WebSocket transport not tested</w:t>
            </w:r>
          </w:p>
        </w:tc>
      </w:tr>
      <w:tr>
        <w:tc>
          <w:tcPr>
            <w:tcW w:type="dxa" w:w="2592"/>
            <w:shd w:fill="F5F5F5"/>
          </w:tcPr>
          <w:p>
            <w:r/>
            <w:r>
              <w:rPr>
                <w:rFonts w:ascii="Calibri" w:hAnsi="Calibri"/>
                <w:color w:val="333333"/>
                <w:sz w:val="20"/>
              </w:rPr>
              <w:t>V10: Malicious Code</w:t>
            </w:r>
          </w:p>
        </w:tc>
        <w:tc>
          <w:tcPr>
            <w:tcW w:type="dxa" w:w="1008"/>
            <w:shd w:fill="F5F5F5"/>
          </w:tcPr>
          <w:p>
            <w:r/>
            <w:r>
              <w:rPr>
                <w:rFonts w:ascii="Calibri" w:hAnsi="Calibri"/>
                <w:color w:val="333333"/>
                <w:sz w:val="20"/>
              </w:rPr>
              <w:t>Covered</w:t>
            </w:r>
          </w:p>
        </w:tc>
        <w:tc>
          <w:tcPr>
            <w:tcW w:type="dxa" w:w="3168"/>
            <w:shd w:fill="F5F5F5"/>
          </w:tcPr>
          <w:p>
            <w:r/>
            <w:r>
              <w:rPr>
                <w:rFonts w:ascii="Calibri" w:hAnsi="Calibri"/>
                <w:color w:val="333333"/>
                <w:sz w:val="20"/>
              </w:rPr>
              <w:t>SAST (Semgrep secret detection)</w:t>
            </w:r>
          </w:p>
        </w:tc>
        <w:tc>
          <w:tcPr>
            <w:tcW w:type="dxa" w:w="3024"/>
            <w:shd w:fill="F5F5F5"/>
          </w:tcPr>
          <w:p>
            <w:r/>
            <w:r>
              <w:rPr>
                <w:rFonts w:ascii="Calibri" w:hAnsi="Calibri"/>
                <w:color w:val="333333"/>
                <w:sz w:val="20"/>
              </w:rPr>
            </w:r>
          </w:p>
        </w:tc>
      </w:tr>
      <w:tr>
        <w:tc>
          <w:tcPr>
            <w:tcW w:type="dxa" w:w="2592"/>
          </w:tcPr>
          <w:p>
            <w:r/>
            <w:r>
              <w:rPr>
                <w:rFonts w:ascii="Calibri" w:hAnsi="Calibri"/>
                <w:color w:val="333333"/>
                <w:sz w:val="20"/>
              </w:rPr>
              <w:t>V13: API Security</w:t>
            </w:r>
          </w:p>
        </w:tc>
        <w:tc>
          <w:tcPr>
            <w:tcW w:type="dxa" w:w="1008"/>
          </w:tcPr>
          <w:p>
            <w:r/>
            <w:r>
              <w:rPr>
                <w:rFonts w:ascii="Calibri" w:hAnsi="Calibri"/>
                <w:color w:val="333333"/>
                <w:sz w:val="20"/>
              </w:rPr>
              <w:t>Partial</w:t>
            </w:r>
          </w:p>
        </w:tc>
        <w:tc>
          <w:tcPr>
            <w:tcW w:type="dxa" w:w="3168"/>
          </w:tcPr>
          <w:p>
            <w:r/>
            <w:r>
              <w:rPr>
                <w:rFonts w:ascii="Calibri" w:hAnsi="Calibri"/>
                <w:color w:val="333333"/>
                <w:sz w:val="20"/>
              </w:rPr>
              <w:t>DAST (ZAP OpenAPI scan)</w:t>
            </w:r>
          </w:p>
        </w:tc>
        <w:tc>
          <w:tcPr>
            <w:tcW w:type="dxa" w:w="3024"/>
          </w:tcPr>
          <w:p>
            <w:r/>
            <w:r>
              <w:rPr>
                <w:rFonts w:ascii="Calibri" w:hAnsi="Calibri"/>
                <w:color w:val="333333"/>
                <w:sz w:val="20"/>
              </w:rPr>
              <w:t>Single user context; no authz bypass testing</w:t>
            </w:r>
          </w:p>
        </w:tc>
      </w:tr>
      <w:tr>
        <w:tc>
          <w:tcPr>
            <w:tcW w:type="dxa" w:w="2592"/>
            <w:shd w:fill="F5F5F5"/>
          </w:tcPr>
          <w:p>
            <w:r/>
            <w:r>
              <w:rPr>
                <w:rFonts w:ascii="Calibri" w:hAnsi="Calibri"/>
                <w:color w:val="333333"/>
                <w:sz w:val="20"/>
              </w:rPr>
              <w:t>V14: Configuration</w:t>
            </w:r>
          </w:p>
        </w:tc>
        <w:tc>
          <w:tcPr>
            <w:tcW w:type="dxa" w:w="1008"/>
            <w:shd w:fill="F5F5F5"/>
          </w:tcPr>
          <w:p>
            <w:r/>
            <w:r>
              <w:rPr>
                <w:rFonts w:ascii="Calibri" w:hAnsi="Calibri"/>
                <w:color w:val="333333"/>
                <w:sz w:val="20"/>
              </w:rPr>
              <w:t>Covered</w:t>
            </w:r>
          </w:p>
        </w:tc>
        <w:tc>
          <w:tcPr>
            <w:tcW w:type="dxa" w:w="3168"/>
            <w:shd w:fill="F5F5F5"/>
          </w:tcPr>
          <w:p>
            <w:r/>
            <w:r>
              <w:rPr>
                <w:rFonts w:ascii="Calibri" w:hAnsi="Calibri"/>
                <w:color w:val="333333"/>
                <w:sz w:val="20"/>
              </w:rPr>
              <w:t>IaC (Checkov), DAST (ZAP headers)</w:t>
            </w:r>
          </w:p>
        </w:tc>
        <w:tc>
          <w:tcPr>
            <w:tcW w:type="dxa" w:w="3024"/>
            <w:shd w:fill="F5F5F5"/>
          </w:tcPr>
          <w:p>
            <w:r/>
            <w:r>
              <w:rPr>
                <w:rFonts w:ascii="Calibri" w:hAnsi="Calibri"/>
                <w:color w:val="333333"/>
                <w:sz w:val="20"/>
              </w:rPr>
            </w:r>
          </w:p>
        </w:tc>
      </w:tr>
    </w:tbl>
    <w:p/>
    <w:p>
      <w:pPr>
        <w:pStyle w:val="Heading2"/>
      </w:pPr>
      <w:r>
        <w:t>8.2 NIST SP 800-53 Selected Controls</w:t>
      </w:r>
    </w:p>
    <w:p>
      <w:r>
        <w:rPr>
          <w:rFonts w:ascii="Calibri" w:hAnsi="Calibri"/>
          <w:color w:val="333333"/>
          <w:sz w:val="22"/>
        </w:rPr>
        <w:t>The following NIST SP 800-53 controls are relevant to this assessment and are addressed by the automated security pipeline.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fill="1E3A5F"/>
          </w:tcPr>
          <w:p>
            <w:pPr>
              <w:jc w:val="left"/>
            </w:pPr>
            <w:r/>
            <w:r>
              <w:rPr>
                <w:rFonts w:ascii="Calibri" w:hAnsi="Calibri"/>
                <w:b/>
                <w:color w:val="FFFFFF"/>
                <w:sz w:val="20"/>
              </w:rPr>
              <w:t>Control</w:t>
            </w:r>
          </w:p>
        </w:tc>
        <w:tc>
          <w:tcPr>
            <w:tcW w:type="dxa" w:w="2160"/>
            <w:shd w:fill="1E3A5F"/>
          </w:tcPr>
          <w:p>
            <w:pPr>
              <w:jc w:val="left"/>
            </w:pPr>
            <w:r/>
            <w:r>
              <w:rPr>
                <w:rFonts w:ascii="Calibri" w:hAnsi="Calibri"/>
                <w:b/>
                <w:color w:val="FFFFFF"/>
                <w:sz w:val="20"/>
              </w:rPr>
              <w:t>Title</w:t>
            </w:r>
          </w:p>
        </w:tc>
        <w:tc>
          <w:tcPr>
            <w:tcW w:type="dxa" w:w="3600"/>
            <w:shd w:fill="1E3A5F"/>
          </w:tcPr>
          <w:p>
            <w:pPr>
              <w:jc w:val="left"/>
            </w:pPr>
            <w:r/>
            <w:r>
              <w:rPr>
                <w:rFonts w:ascii="Calibri" w:hAnsi="Calibri"/>
                <w:b/>
                <w:color w:val="FFFFFF"/>
                <w:sz w:val="20"/>
              </w:rPr>
              <w:t>Assessment Coverage</w:t>
            </w:r>
          </w:p>
        </w:tc>
        <w:tc>
          <w:tcPr>
            <w:tcW w:type="dxa" w:w="3168"/>
            <w:shd w:fill="1E3A5F"/>
          </w:tcPr>
          <w:p>
            <w:pPr>
              <w:jc w:val="left"/>
            </w:pPr>
            <w:r/>
            <w:r>
              <w:rPr>
                <w:rFonts w:ascii="Calibri" w:hAnsi="Calibri"/>
                <w:b/>
                <w:color w:val="FFFFFF"/>
                <w:sz w:val="20"/>
              </w:rPr>
              <w:t>Gaps</w:t>
            </w:r>
          </w:p>
        </w:tc>
      </w:tr>
      <w:tr>
        <w:tc>
          <w:tcPr>
            <w:tcW w:type="dxa" w:w="864"/>
          </w:tcPr>
          <w:p>
            <w:r/>
            <w:r>
              <w:rPr>
                <w:rFonts w:ascii="Calibri" w:hAnsi="Calibri"/>
                <w:color w:val="333333"/>
                <w:sz w:val="20"/>
              </w:rPr>
              <w:t>SA-11</w:t>
            </w:r>
          </w:p>
        </w:tc>
        <w:tc>
          <w:tcPr>
            <w:tcW w:type="dxa" w:w="2160"/>
          </w:tcPr>
          <w:p>
            <w:r/>
            <w:r>
              <w:rPr>
                <w:rFonts w:ascii="Calibri" w:hAnsi="Calibri"/>
                <w:color w:val="333333"/>
                <w:sz w:val="20"/>
              </w:rPr>
              <w:t>Developer Testing</w:t>
            </w:r>
          </w:p>
        </w:tc>
        <w:tc>
          <w:tcPr>
            <w:tcW w:type="dxa" w:w="3600"/>
          </w:tcPr>
          <w:p>
            <w:r/>
            <w:r>
              <w:rPr>
                <w:rFonts w:ascii="Calibri" w:hAnsi="Calibri"/>
                <w:color w:val="333333"/>
                <w:sz w:val="20"/>
              </w:rPr>
              <w:t>SAST on every commit; DAST weekly/monthly</w:t>
            </w:r>
          </w:p>
        </w:tc>
        <w:tc>
          <w:tcPr>
            <w:tcW w:type="dxa" w:w="3168"/>
          </w:tcPr>
          <w:p>
            <w:r/>
            <w:r>
              <w:rPr>
                <w:rFonts w:ascii="Calibri" w:hAnsi="Calibri"/>
                <w:color w:val="333333"/>
                <w:sz w:val="20"/>
              </w:rPr>
              <w:t>No manual pen testing</w:t>
            </w:r>
          </w:p>
        </w:tc>
      </w:tr>
      <w:tr>
        <w:tc>
          <w:tcPr>
            <w:tcW w:type="dxa" w:w="864"/>
            <w:shd w:fill="F5F5F5"/>
          </w:tcPr>
          <w:p>
            <w:r/>
            <w:r>
              <w:rPr>
                <w:rFonts w:ascii="Calibri" w:hAnsi="Calibri"/>
                <w:color w:val="333333"/>
                <w:sz w:val="20"/>
              </w:rPr>
              <w:t>RA-5</w:t>
            </w:r>
          </w:p>
        </w:tc>
        <w:tc>
          <w:tcPr>
            <w:tcW w:type="dxa" w:w="2160"/>
            <w:shd w:fill="F5F5F5"/>
          </w:tcPr>
          <w:p>
            <w:r/>
            <w:r>
              <w:rPr>
                <w:rFonts w:ascii="Calibri" w:hAnsi="Calibri"/>
                <w:color w:val="333333"/>
                <w:sz w:val="20"/>
              </w:rPr>
              <w:t>Vulnerability Scanning</w:t>
            </w:r>
          </w:p>
        </w:tc>
        <w:tc>
          <w:tcPr>
            <w:tcW w:type="dxa" w:w="3600"/>
            <w:shd w:fill="F5F5F5"/>
          </w:tcPr>
          <w:p>
            <w:r/>
            <w:r>
              <w:rPr>
                <w:rFonts w:ascii="Calibri" w:hAnsi="Calibri"/>
                <w:color w:val="333333"/>
                <w:sz w:val="20"/>
              </w:rPr>
              <w:t>Automated SAST, DAST, IaC on CI/CD</w:t>
            </w:r>
          </w:p>
        </w:tc>
        <w:tc>
          <w:tcPr>
            <w:tcW w:type="dxa" w:w="3168"/>
            <w:shd w:fill="F5F5F5"/>
          </w:tcPr>
          <w:p>
            <w:r/>
            <w:r>
              <w:rPr>
                <w:rFonts w:ascii="Calibri" w:hAnsi="Calibri"/>
                <w:color w:val="333333"/>
                <w:sz w:val="20"/>
              </w:rPr>
              <w:t>Limited C# SAST depth</w:t>
            </w:r>
          </w:p>
        </w:tc>
      </w:tr>
      <w:tr>
        <w:tc>
          <w:tcPr>
            <w:tcW w:type="dxa" w:w="864"/>
          </w:tcPr>
          <w:p>
            <w:r/>
            <w:r>
              <w:rPr>
                <w:rFonts w:ascii="Calibri" w:hAnsi="Calibri"/>
                <w:color w:val="333333"/>
                <w:sz w:val="20"/>
              </w:rPr>
              <w:t>SI-10</w:t>
            </w:r>
          </w:p>
        </w:tc>
        <w:tc>
          <w:tcPr>
            <w:tcW w:type="dxa" w:w="2160"/>
          </w:tcPr>
          <w:p>
            <w:r/>
            <w:r>
              <w:rPr>
                <w:rFonts w:ascii="Calibri" w:hAnsi="Calibri"/>
                <w:color w:val="333333"/>
                <w:sz w:val="20"/>
              </w:rPr>
              <w:t>Input Validation</w:t>
            </w:r>
          </w:p>
        </w:tc>
        <w:tc>
          <w:tcPr>
            <w:tcW w:type="dxa" w:w="3600"/>
          </w:tcPr>
          <w:p>
            <w:r/>
            <w:r>
              <w:rPr>
                <w:rFonts w:ascii="Calibri" w:hAnsi="Calibri"/>
                <w:color w:val="333333"/>
                <w:sz w:val="20"/>
              </w:rPr>
              <w:t>SAST (injection), DAST (active testing)</w:t>
            </w:r>
          </w:p>
        </w:tc>
        <w:tc>
          <w:tcPr>
            <w:tcW w:type="dxa" w:w="3168"/>
          </w:tcPr>
          <w:p>
            <w:r/>
            <w:r>
              <w:rPr>
                <w:rFonts w:ascii="Calibri" w:hAnsi="Calibri"/>
                <w:color w:val="333333"/>
                <w:sz w:val="20"/>
              </w:rPr>
            </w:r>
          </w:p>
        </w:tc>
      </w:tr>
      <w:tr>
        <w:tc>
          <w:tcPr>
            <w:tcW w:type="dxa" w:w="864"/>
            <w:shd w:fill="F5F5F5"/>
          </w:tcPr>
          <w:p>
            <w:r/>
            <w:r>
              <w:rPr>
                <w:rFonts w:ascii="Calibri" w:hAnsi="Calibri"/>
                <w:color w:val="333333"/>
                <w:sz w:val="20"/>
              </w:rPr>
              <w:t>SC-8</w:t>
            </w:r>
          </w:p>
        </w:tc>
        <w:tc>
          <w:tcPr>
            <w:tcW w:type="dxa" w:w="2160"/>
            <w:shd w:fill="F5F5F5"/>
          </w:tcPr>
          <w:p>
            <w:r/>
            <w:r>
              <w:rPr>
                <w:rFonts w:ascii="Calibri" w:hAnsi="Calibri"/>
                <w:color w:val="333333"/>
                <w:sz w:val="20"/>
              </w:rPr>
              <w:t>Transmission Confidentiality</w:t>
            </w:r>
          </w:p>
        </w:tc>
        <w:tc>
          <w:tcPr>
            <w:tcW w:type="dxa" w:w="3600"/>
            <w:shd w:fill="F5F5F5"/>
          </w:tcPr>
          <w:p>
            <w:r/>
            <w:r>
              <w:rPr>
                <w:rFonts w:ascii="Calibri" w:hAnsi="Calibri"/>
                <w:color w:val="333333"/>
                <w:sz w:val="20"/>
              </w:rPr>
              <w:t>DAST (TLS/HSTS), IaC (HTTPS)</w:t>
            </w:r>
          </w:p>
        </w:tc>
        <w:tc>
          <w:tcPr>
            <w:tcW w:type="dxa" w:w="3168"/>
            <w:shd w:fill="F5F5F5"/>
          </w:tcPr>
          <w:p>
            <w:r/>
            <w:r>
              <w:rPr>
                <w:rFonts w:ascii="Calibri" w:hAnsi="Calibri"/>
                <w:color w:val="333333"/>
                <w:sz w:val="20"/>
              </w:rPr>
            </w:r>
          </w:p>
        </w:tc>
      </w:tr>
      <w:tr>
        <w:tc>
          <w:tcPr>
            <w:tcW w:type="dxa" w:w="864"/>
          </w:tcPr>
          <w:p>
            <w:r/>
            <w:r>
              <w:rPr>
                <w:rFonts w:ascii="Calibri" w:hAnsi="Calibri"/>
                <w:color w:val="333333"/>
                <w:sz w:val="20"/>
              </w:rPr>
              <w:t>SC-28</w:t>
            </w:r>
          </w:p>
        </w:tc>
        <w:tc>
          <w:tcPr>
            <w:tcW w:type="dxa" w:w="2160"/>
          </w:tcPr>
          <w:p>
            <w:r/>
            <w:r>
              <w:rPr>
                <w:rFonts w:ascii="Calibri" w:hAnsi="Calibri"/>
                <w:color w:val="333333"/>
                <w:sz w:val="20"/>
              </w:rPr>
              <w:t>Protection at Rest</w:t>
            </w:r>
          </w:p>
        </w:tc>
        <w:tc>
          <w:tcPr>
            <w:tcW w:type="dxa" w:w="3600"/>
          </w:tcPr>
          <w:p>
            <w:r/>
            <w:r>
              <w:rPr>
                <w:rFonts w:ascii="Calibri" w:hAnsi="Calibri"/>
                <w:color w:val="333333"/>
                <w:sz w:val="20"/>
              </w:rPr>
              <w:t>IaC (SQL TDE, Storage encryption)</w:t>
            </w:r>
          </w:p>
        </w:tc>
        <w:tc>
          <w:tcPr>
            <w:tcW w:type="dxa" w:w="3168"/>
          </w:tcPr>
          <w:p>
            <w:r/>
            <w:r>
              <w:rPr>
                <w:rFonts w:ascii="Calibri" w:hAnsi="Calibri"/>
                <w:color w:val="333333"/>
                <w:sz w:val="20"/>
              </w:rPr>
              <w:t>Key rotation not audited</w:t>
            </w:r>
          </w:p>
        </w:tc>
      </w:tr>
      <w:tr>
        <w:tc>
          <w:tcPr>
            <w:tcW w:type="dxa" w:w="864"/>
            <w:shd w:fill="F5F5F5"/>
          </w:tcPr>
          <w:p>
            <w:r/>
            <w:r>
              <w:rPr>
                <w:rFonts w:ascii="Calibri" w:hAnsi="Calibri"/>
                <w:color w:val="333333"/>
                <w:sz w:val="20"/>
              </w:rPr>
              <w:t>AC-3</w:t>
            </w:r>
          </w:p>
        </w:tc>
        <w:tc>
          <w:tcPr>
            <w:tcW w:type="dxa" w:w="2160"/>
            <w:shd w:fill="F5F5F5"/>
          </w:tcPr>
          <w:p>
            <w:r/>
            <w:r>
              <w:rPr>
                <w:rFonts w:ascii="Calibri" w:hAnsi="Calibri"/>
                <w:color w:val="333333"/>
                <w:sz w:val="20"/>
              </w:rPr>
              <w:t>Access Enforcement</w:t>
            </w:r>
          </w:p>
        </w:tc>
        <w:tc>
          <w:tcPr>
            <w:tcW w:type="dxa" w:w="3600"/>
            <w:shd w:fill="F5F5F5"/>
          </w:tcPr>
          <w:p>
            <w:r/>
            <w:r>
              <w:rPr>
                <w:rFonts w:ascii="Calibri" w:hAnsi="Calibri"/>
                <w:color w:val="333333"/>
                <w:sz w:val="20"/>
              </w:rPr>
              <w:t>SAST, architecture review (RBAC)</w:t>
            </w:r>
          </w:p>
        </w:tc>
        <w:tc>
          <w:tcPr>
            <w:tcW w:type="dxa" w:w="3168"/>
            <w:shd w:fill="F5F5F5"/>
          </w:tcPr>
          <w:p>
            <w:r/>
            <w:r>
              <w:rPr>
                <w:rFonts w:ascii="Calibri" w:hAnsi="Calibri"/>
                <w:color w:val="333333"/>
                <w:sz w:val="20"/>
              </w:rPr>
              <w:t>No privilege escalation testing</w:t>
            </w:r>
          </w:p>
        </w:tc>
      </w:tr>
      <w:tr>
        <w:tc>
          <w:tcPr>
            <w:tcW w:type="dxa" w:w="864"/>
          </w:tcPr>
          <w:p>
            <w:r/>
            <w:r>
              <w:rPr>
                <w:rFonts w:ascii="Calibri" w:hAnsi="Calibri"/>
                <w:color w:val="333333"/>
                <w:sz w:val="20"/>
              </w:rPr>
              <w:t>AC-4</w:t>
            </w:r>
          </w:p>
        </w:tc>
        <w:tc>
          <w:tcPr>
            <w:tcW w:type="dxa" w:w="2160"/>
          </w:tcPr>
          <w:p>
            <w:r/>
            <w:r>
              <w:rPr>
                <w:rFonts w:ascii="Calibri" w:hAnsi="Calibri"/>
                <w:color w:val="333333"/>
                <w:sz w:val="20"/>
              </w:rPr>
              <w:t>Information Flow</w:t>
            </w:r>
          </w:p>
        </w:tc>
        <w:tc>
          <w:tcPr>
            <w:tcW w:type="dxa" w:w="3600"/>
          </w:tcPr>
          <w:p>
            <w:r/>
            <w:r>
              <w:rPr>
                <w:rFonts w:ascii="Calibri" w:hAnsi="Calibri"/>
                <w:color w:val="333333"/>
                <w:sz w:val="20"/>
              </w:rPr>
              <w:t>IaC (network isolation), multi-tenancy</w:t>
            </w:r>
          </w:p>
        </w:tc>
        <w:tc>
          <w:tcPr>
            <w:tcW w:type="dxa" w:w="3168"/>
          </w:tcPr>
          <w:p>
            <w:r/>
            <w:r>
              <w:rPr>
                <w:rFonts w:ascii="Calibri" w:hAnsi="Calibri"/>
                <w:color w:val="333333"/>
                <w:sz w:val="20"/>
              </w:rPr>
              <w:t>Cross-tenant testing manual only</w:t>
            </w:r>
          </w:p>
        </w:tc>
      </w:tr>
      <w:tr>
        <w:tc>
          <w:tcPr>
            <w:tcW w:type="dxa" w:w="864"/>
            <w:shd w:fill="F5F5F5"/>
          </w:tcPr>
          <w:p>
            <w:r/>
            <w:r>
              <w:rPr>
                <w:rFonts w:ascii="Calibri" w:hAnsi="Calibri"/>
                <w:color w:val="333333"/>
                <w:sz w:val="20"/>
              </w:rPr>
              <w:t>AU-2</w:t>
            </w:r>
          </w:p>
        </w:tc>
        <w:tc>
          <w:tcPr>
            <w:tcW w:type="dxa" w:w="2160"/>
            <w:shd w:fill="F5F5F5"/>
          </w:tcPr>
          <w:p>
            <w:r/>
            <w:r>
              <w:rPr>
                <w:rFonts w:ascii="Calibri" w:hAnsi="Calibri"/>
                <w:color w:val="333333"/>
                <w:sz w:val="20"/>
              </w:rPr>
              <w:t>Event Logging</w:t>
            </w:r>
          </w:p>
        </w:tc>
        <w:tc>
          <w:tcPr>
            <w:tcW w:type="dxa" w:w="3600"/>
            <w:shd w:fill="F5F5F5"/>
          </w:tcPr>
          <w:p>
            <w:r/>
            <w:r>
              <w:rPr>
                <w:rFonts w:ascii="Calibri" w:hAnsi="Calibri"/>
                <w:color w:val="333333"/>
                <w:sz w:val="20"/>
              </w:rPr>
              <w:t>IaC (SQL auditing, Defender checks)</w:t>
            </w:r>
          </w:p>
        </w:tc>
        <w:tc>
          <w:tcPr>
            <w:tcW w:type="dxa" w:w="3168"/>
            <w:shd w:fill="F5F5F5"/>
          </w:tcPr>
          <w:p>
            <w:r/>
            <w:r>
              <w:rPr>
                <w:rFonts w:ascii="Calibri" w:hAnsi="Calibri"/>
                <w:color w:val="333333"/>
                <w:sz w:val="20"/>
              </w:rPr>
              <w:t>App-level audit logging partial</w:t>
            </w:r>
          </w:p>
        </w:tc>
      </w:tr>
      <w:tr>
        <w:tc>
          <w:tcPr>
            <w:tcW w:type="dxa" w:w="864"/>
          </w:tcPr>
          <w:p>
            <w:r/>
            <w:r>
              <w:rPr>
                <w:rFonts w:ascii="Calibri" w:hAnsi="Calibri"/>
                <w:color w:val="333333"/>
                <w:sz w:val="20"/>
              </w:rPr>
              <w:t>AU-6</w:t>
            </w:r>
          </w:p>
        </w:tc>
        <w:tc>
          <w:tcPr>
            <w:tcW w:type="dxa" w:w="2160"/>
          </w:tcPr>
          <w:p>
            <w:r/>
            <w:r>
              <w:rPr>
                <w:rFonts w:ascii="Calibri" w:hAnsi="Calibri"/>
                <w:color w:val="333333"/>
                <w:sz w:val="20"/>
              </w:rPr>
              <w:t>Audit Record Review</w:t>
            </w:r>
          </w:p>
        </w:tc>
        <w:tc>
          <w:tcPr>
            <w:tcW w:type="dxa" w:w="3600"/>
          </w:tcPr>
          <w:p>
            <w:r/>
            <w:r>
              <w:rPr>
                <w:rFonts w:ascii="Calibri" w:hAnsi="Calibri"/>
                <w:color w:val="333333"/>
                <w:sz w:val="20"/>
              </w:rPr>
              <w:t>GitHub Issue tracking</w:t>
            </w:r>
          </w:p>
        </w:tc>
        <w:tc>
          <w:tcPr>
            <w:tcW w:type="dxa" w:w="3168"/>
          </w:tcPr>
          <w:p>
            <w:r/>
            <w:r>
              <w:rPr>
                <w:rFonts w:ascii="Calibri" w:hAnsi="Calibri"/>
                <w:color w:val="333333"/>
                <w:sz w:val="20"/>
              </w:rPr>
              <w:t>No SIEM integration</w:t>
            </w:r>
          </w:p>
        </w:tc>
      </w:tr>
      <w:tr>
        <w:tc>
          <w:tcPr>
            <w:tcW w:type="dxa" w:w="864"/>
            <w:shd w:fill="F5F5F5"/>
          </w:tcPr>
          <w:p>
            <w:r/>
            <w:r>
              <w:rPr>
                <w:rFonts w:ascii="Calibri" w:hAnsi="Calibri"/>
                <w:color w:val="333333"/>
                <w:sz w:val="20"/>
              </w:rPr>
              <w:t>CM-6</w:t>
            </w:r>
          </w:p>
        </w:tc>
        <w:tc>
          <w:tcPr>
            <w:tcW w:type="dxa" w:w="2160"/>
            <w:shd w:fill="F5F5F5"/>
          </w:tcPr>
          <w:p>
            <w:r/>
            <w:r>
              <w:rPr>
                <w:rFonts w:ascii="Calibri" w:hAnsi="Calibri"/>
                <w:color w:val="333333"/>
                <w:sz w:val="20"/>
              </w:rPr>
              <w:t>Configuration Settings</w:t>
            </w:r>
          </w:p>
        </w:tc>
        <w:tc>
          <w:tcPr>
            <w:tcW w:type="dxa" w:w="3600"/>
            <w:shd w:fill="F5F5F5"/>
          </w:tcPr>
          <w:p>
            <w:r/>
            <w:r>
              <w:rPr>
                <w:rFonts w:ascii="Calibri" w:hAnsi="Calibri"/>
                <w:color w:val="333333"/>
                <w:sz w:val="20"/>
              </w:rPr>
              <w:t>IaC (Checkov CIS benchmark)</w:t>
            </w:r>
          </w:p>
        </w:tc>
        <w:tc>
          <w:tcPr>
            <w:tcW w:type="dxa" w:w="3168"/>
            <w:shd w:fill="F5F5F5"/>
          </w:tcPr>
          <w:p>
            <w:r/>
            <w:r>
              <w:rPr>
                <w:rFonts w:ascii="Calibri" w:hAnsi="Calibri"/>
                <w:color w:val="333333"/>
                <w:sz w:val="20"/>
              </w:rPr>
              <w:t>Runtime drift not monitored</w:t>
            </w:r>
          </w:p>
        </w:tc>
      </w:tr>
      <w:tr>
        <w:tc>
          <w:tcPr>
            <w:tcW w:type="dxa" w:w="864"/>
          </w:tcPr>
          <w:p>
            <w:r/>
            <w:r>
              <w:rPr>
                <w:rFonts w:ascii="Calibri" w:hAnsi="Calibri"/>
                <w:color w:val="333333"/>
                <w:sz w:val="20"/>
              </w:rPr>
              <w:t>IA-2</w:t>
            </w:r>
          </w:p>
        </w:tc>
        <w:tc>
          <w:tcPr>
            <w:tcW w:type="dxa" w:w="2160"/>
          </w:tcPr>
          <w:p>
            <w:r/>
            <w:r>
              <w:rPr>
                <w:rFonts w:ascii="Calibri" w:hAnsi="Calibri"/>
                <w:color w:val="333333"/>
                <w:sz w:val="20"/>
              </w:rPr>
              <w:t>User Identification</w:t>
            </w:r>
          </w:p>
        </w:tc>
        <w:tc>
          <w:tcPr>
            <w:tcW w:type="dxa" w:w="3600"/>
          </w:tcPr>
          <w:p>
            <w:r/>
            <w:r>
              <w:rPr>
                <w:rFonts w:ascii="Calibri" w:hAnsi="Calibri"/>
                <w:color w:val="333333"/>
                <w:sz w:val="20"/>
              </w:rPr>
              <w:t>JWT bearer token validation</w:t>
            </w:r>
          </w:p>
        </w:tc>
        <w:tc>
          <w:tcPr>
            <w:tcW w:type="dxa" w:w="3168"/>
          </w:tcPr>
          <w:p>
            <w:r/>
            <w:r>
              <w:rPr>
                <w:rFonts w:ascii="Calibri" w:hAnsi="Calibri"/>
                <w:color w:val="333333"/>
                <w:sz w:val="20"/>
              </w:rPr>
              <w:t>No MFA enforcement at app level</w:t>
            </w:r>
          </w:p>
        </w:tc>
      </w:tr>
      <w:tr>
        <w:tc>
          <w:tcPr>
            <w:tcW w:type="dxa" w:w="864"/>
            <w:shd w:fill="F5F5F5"/>
          </w:tcPr>
          <w:p>
            <w:r/>
            <w:r>
              <w:rPr>
                <w:rFonts w:ascii="Calibri" w:hAnsi="Calibri"/>
                <w:color w:val="333333"/>
                <w:sz w:val="20"/>
              </w:rPr>
              <w:t>IA-5</w:t>
            </w:r>
          </w:p>
        </w:tc>
        <w:tc>
          <w:tcPr>
            <w:tcW w:type="dxa" w:w="2160"/>
            <w:shd w:fill="F5F5F5"/>
          </w:tcPr>
          <w:p>
            <w:r/>
            <w:r>
              <w:rPr>
                <w:rFonts w:ascii="Calibri" w:hAnsi="Calibri"/>
                <w:color w:val="333333"/>
                <w:sz w:val="20"/>
              </w:rPr>
              <w:t>Authenticator Management</w:t>
            </w:r>
          </w:p>
        </w:tc>
        <w:tc>
          <w:tcPr>
            <w:tcW w:type="dxa" w:w="3600"/>
            <w:shd w:fill="F5F5F5"/>
          </w:tcPr>
          <w:p>
            <w:r/>
            <w:r>
              <w:rPr>
                <w:rFonts w:ascii="Calibri" w:hAnsi="Calibri"/>
                <w:color w:val="333333"/>
                <w:sz w:val="20"/>
              </w:rPr>
              <w:t>SAST (secret detection)</w:t>
            </w:r>
          </w:p>
        </w:tc>
        <w:tc>
          <w:tcPr>
            <w:tcW w:type="dxa" w:w="3168"/>
            <w:shd w:fill="F5F5F5"/>
          </w:tcPr>
          <w:p>
            <w:r/>
            <w:r>
              <w:rPr>
                <w:rFonts w:ascii="Calibri" w:hAnsi="Calibri"/>
                <w:color w:val="333333"/>
                <w:sz w:val="20"/>
              </w:rPr>
              <w:t>No token revocation mechanism</w:t>
            </w:r>
          </w:p>
        </w:tc>
      </w:tr>
    </w:tbl>
    <w:p/>
    <w:p>
      <w:pPr>
        <w:pStyle w:val="Heading2"/>
      </w:pPr>
      <w:r>
        <w:t>8.3 Continuous Monitoring</w:t>
      </w:r>
    </w:p>
    <w:p>
      <w:r>
        <w:rPr>
          <w:rFonts w:ascii="Calibri" w:hAnsi="Calibri"/>
          <w:color w:val="333333"/>
          <w:sz w:val="22"/>
        </w:rPr>
        <w:t>The Cadence security assessment is not a point-in-time audit but a continuous monitoring program integrated into the development lifecycle:</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E3A5F"/>
          </w:tcPr>
          <w:p>
            <w:pPr>
              <w:jc w:val="left"/>
            </w:pPr>
            <w:r/>
            <w:r>
              <w:rPr>
                <w:rFonts w:ascii="Calibri" w:hAnsi="Calibri"/>
                <w:b/>
                <w:color w:val="FFFFFF"/>
                <w:sz w:val="20"/>
              </w:rPr>
              <w:t>Schedule</w:t>
            </w:r>
          </w:p>
        </w:tc>
        <w:tc>
          <w:tcPr>
            <w:tcW w:type="dxa" w:w="2160"/>
            <w:shd w:fill="1E3A5F"/>
          </w:tcPr>
          <w:p>
            <w:pPr>
              <w:jc w:val="left"/>
            </w:pPr>
            <w:r/>
            <w:r>
              <w:rPr>
                <w:rFonts w:ascii="Calibri" w:hAnsi="Calibri"/>
                <w:b/>
                <w:color w:val="FFFFFF"/>
                <w:sz w:val="20"/>
              </w:rPr>
              <w:t>Scan Type</w:t>
            </w:r>
          </w:p>
        </w:tc>
        <w:tc>
          <w:tcPr>
            <w:tcW w:type="dxa" w:w="4752"/>
            <w:shd w:fill="1E3A5F"/>
          </w:tcPr>
          <w:p>
            <w:pPr>
              <w:jc w:val="left"/>
            </w:pPr>
            <w:r/>
            <w:r>
              <w:rPr>
                <w:rFonts w:ascii="Calibri" w:hAnsi="Calibri"/>
                <w:b/>
                <w:color w:val="FFFFFF"/>
                <w:sz w:val="20"/>
              </w:rPr>
              <w:t>Details</w:t>
            </w:r>
          </w:p>
        </w:tc>
      </w:tr>
      <w:tr>
        <w:tc>
          <w:tcPr>
            <w:tcW w:type="dxa" w:w="2880"/>
          </w:tcPr>
          <w:p>
            <w:r/>
            <w:r>
              <w:rPr>
                <w:rFonts w:ascii="Calibri" w:hAnsi="Calibri"/>
                <w:color w:val="333333"/>
                <w:sz w:val="20"/>
              </w:rPr>
              <w:t>Every push to main</w:t>
            </w:r>
          </w:p>
        </w:tc>
        <w:tc>
          <w:tcPr>
            <w:tcW w:type="dxa" w:w="2160"/>
          </w:tcPr>
          <w:p>
            <w:r/>
            <w:r>
              <w:rPr>
                <w:rFonts w:ascii="Calibri" w:hAnsi="Calibri"/>
                <w:color w:val="333333"/>
                <w:sz w:val="20"/>
              </w:rPr>
              <w:t>SAST (Semgrep)</w:t>
            </w:r>
          </w:p>
        </w:tc>
        <w:tc>
          <w:tcPr>
            <w:tcW w:type="dxa" w:w="4752"/>
          </w:tcPr>
          <w:p>
            <w:r/>
            <w:r>
              <w:rPr>
                <w:rFonts w:ascii="Calibri" w:hAnsi="Calibri"/>
                <w:color w:val="333333"/>
                <w:sz w:val="20"/>
              </w:rPr>
              <w:t>Full source code analysis on every code change</w:t>
            </w:r>
          </w:p>
        </w:tc>
      </w:tr>
      <w:tr>
        <w:tc>
          <w:tcPr>
            <w:tcW w:type="dxa" w:w="2880"/>
            <w:shd w:fill="F5F5F5"/>
          </w:tcPr>
          <w:p>
            <w:r/>
            <w:r>
              <w:rPr>
                <w:rFonts w:ascii="Calibri" w:hAnsi="Calibri"/>
                <w:color w:val="333333"/>
                <w:sz w:val="20"/>
              </w:rPr>
              <w:t>Every push (infra paths)</w:t>
            </w:r>
          </w:p>
        </w:tc>
        <w:tc>
          <w:tcPr>
            <w:tcW w:type="dxa" w:w="2160"/>
            <w:shd w:fill="F5F5F5"/>
          </w:tcPr>
          <w:p>
            <w:r/>
            <w:r>
              <w:rPr>
                <w:rFonts w:ascii="Calibri" w:hAnsi="Calibri"/>
                <w:color w:val="333333"/>
                <w:sz w:val="20"/>
              </w:rPr>
              <w:t>IaC (Checkov)</w:t>
            </w:r>
          </w:p>
        </w:tc>
        <w:tc>
          <w:tcPr>
            <w:tcW w:type="dxa" w:w="4752"/>
            <w:shd w:fill="F5F5F5"/>
          </w:tcPr>
          <w:p>
            <w:r/>
            <w:r>
              <w:rPr>
                <w:rFonts w:ascii="Calibri" w:hAnsi="Calibri"/>
                <w:color w:val="333333"/>
                <w:sz w:val="20"/>
              </w:rPr>
              <w:t>Bicep template scanning on infrastructure changes</w:t>
            </w:r>
          </w:p>
        </w:tc>
      </w:tr>
      <w:tr>
        <w:tc>
          <w:tcPr>
            <w:tcW w:type="dxa" w:w="2880"/>
          </w:tcPr>
          <w:p>
            <w:r/>
            <w:r>
              <w:rPr>
                <w:rFonts w:ascii="Calibri" w:hAnsi="Calibri"/>
                <w:color w:val="333333"/>
                <w:sz w:val="20"/>
              </w:rPr>
              <w:t>Weekly (Monday 2 AM UTC)</w:t>
            </w:r>
          </w:p>
        </w:tc>
        <w:tc>
          <w:tcPr>
            <w:tcW w:type="dxa" w:w="2160"/>
          </w:tcPr>
          <w:p>
            <w:r/>
            <w:r>
              <w:rPr>
                <w:rFonts w:ascii="Calibri" w:hAnsi="Calibri"/>
                <w:color w:val="333333"/>
                <w:sz w:val="20"/>
              </w:rPr>
              <w:t>DAST Quick</w:t>
            </w:r>
          </w:p>
        </w:tc>
        <w:tc>
          <w:tcPr>
            <w:tcW w:type="dxa" w:w="4752"/>
          </w:tcPr>
          <w:p>
            <w:r/>
            <w:r>
              <w:rPr>
                <w:rFonts w:ascii="Calibri" w:hAnsi="Calibri"/>
                <w:color w:val="333333"/>
                <w:sz w:val="20"/>
              </w:rPr>
              <w:t>Authenticated baseline scan — passive analysis</w:t>
            </w:r>
          </w:p>
        </w:tc>
      </w:tr>
      <w:tr>
        <w:tc>
          <w:tcPr>
            <w:tcW w:type="dxa" w:w="2880"/>
            <w:shd w:fill="F5F5F5"/>
          </w:tcPr>
          <w:p>
            <w:r/>
            <w:r>
              <w:rPr>
                <w:rFonts w:ascii="Calibri" w:hAnsi="Calibri"/>
                <w:color w:val="333333"/>
                <w:sz w:val="20"/>
              </w:rPr>
              <w:t>Monthly (1st, 3 AM UTC)</w:t>
            </w:r>
          </w:p>
        </w:tc>
        <w:tc>
          <w:tcPr>
            <w:tcW w:type="dxa" w:w="2160"/>
            <w:shd w:fill="F5F5F5"/>
          </w:tcPr>
          <w:p>
            <w:r/>
            <w:r>
              <w:rPr>
                <w:rFonts w:ascii="Calibri" w:hAnsi="Calibri"/>
                <w:color w:val="333333"/>
                <w:sz w:val="20"/>
              </w:rPr>
              <w:t>DAST Full</w:t>
            </w:r>
          </w:p>
        </w:tc>
        <w:tc>
          <w:tcPr>
            <w:tcW w:type="dxa" w:w="4752"/>
            <w:shd w:fill="F5F5F5"/>
          </w:tcPr>
          <w:p>
            <w:r/>
            <w:r>
              <w:rPr>
                <w:rFonts w:ascii="Calibri" w:hAnsi="Calibri"/>
                <w:color w:val="333333"/>
                <w:sz w:val="20"/>
              </w:rPr>
              <w:t>OpenAPI API scan — active testing of every endpoint</w:t>
            </w:r>
          </w:p>
        </w:tc>
      </w:tr>
      <w:tr>
        <w:tc>
          <w:tcPr>
            <w:tcW w:type="dxa" w:w="2880"/>
          </w:tcPr>
          <w:p>
            <w:r/>
            <w:r>
              <w:rPr>
                <w:rFonts w:ascii="Calibri" w:hAnsi="Calibri"/>
                <w:color w:val="333333"/>
                <w:sz w:val="20"/>
              </w:rPr>
              <w:t>Weekly (Monday 6 AM UTC)</w:t>
            </w:r>
          </w:p>
        </w:tc>
        <w:tc>
          <w:tcPr>
            <w:tcW w:type="dxa" w:w="2160"/>
          </w:tcPr>
          <w:p>
            <w:r/>
            <w:r>
              <w:rPr>
                <w:rFonts w:ascii="Calibri" w:hAnsi="Calibri"/>
                <w:color w:val="333333"/>
                <w:sz w:val="20"/>
              </w:rPr>
              <w:t>Consolidated Report</w:t>
            </w:r>
          </w:p>
        </w:tc>
        <w:tc>
          <w:tcPr>
            <w:tcW w:type="dxa" w:w="4752"/>
          </w:tcPr>
          <w:p>
            <w:r/>
            <w:r>
              <w:rPr>
                <w:rFonts w:ascii="Calibri" w:hAnsi="Calibri"/>
                <w:color w:val="333333"/>
                <w:sz w:val="20"/>
              </w:rPr>
              <w:t>Merges latest SAST + IaC + DAST results</w:t>
            </w:r>
          </w:p>
        </w:tc>
      </w:tr>
      <w:tr>
        <w:tc>
          <w:tcPr>
            <w:tcW w:type="dxa" w:w="2880"/>
            <w:shd w:fill="F5F5F5"/>
          </w:tcPr>
          <w:p>
            <w:r/>
            <w:r>
              <w:rPr>
                <w:rFonts w:ascii="Calibri" w:hAnsi="Calibri"/>
                <w:color w:val="333333"/>
                <w:sz w:val="20"/>
              </w:rPr>
              <w:t>Monthly (1st, 7 AM UTC)</w:t>
            </w:r>
          </w:p>
        </w:tc>
        <w:tc>
          <w:tcPr>
            <w:tcW w:type="dxa" w:w="2160"/>
            <w:shd w:fill="F5F5F5"/>
          </w:tcPr>
          <w:p>
            <w:r/>
            <w:r>
              <w:rPr>
                <w:rFonts w:ascii="Calibri" w:hAnsi="Calibri"/>
                <w:color w:val="333333"/>
                <w:sz w:val="20"/>
              </w:rPr>
              <w:t>Consolidated Report</w:t>
            </w:r>
          </w:p>
        </w:tc>
        <w:tc>
          <w:tcPr>
            <w:tcW w:type="dxa" w:w="4752"/>
            <w:shd w:fill="F5F5F5"/>
          </w:tcPr>
          <w:p>
            <w:r/>
            <w:r>
              <w:rPr>
                <w:rFonts w:ascii="Calibri" w:hAnsi="Calibri"/>
                <w:color w:val="333333"/>
                <w:sz w:val="20"/>
              </w:rPr>
              <w:t>Captures comprehensive API scan results</w:t>
            </w:r>
          </w:p>
        </w:tc>
      </w:tr>
    </w:tbl>
    <w:p/>
    <w:p>
      <w:r>
        <w:rPr>
          <w:rFonts w:ascii="Calibri" w:hAnsi="Calibri"/>
          <w:color w:val="333333"/>
          <w:sz w:val="22"/>
        </w:rPr>
        <w:t>Consolidated results are published as SARIF artifacts, HTML reports, and automatically opened as GitHub Issues for tracking. This ensures that new findings are visible to the development team within one week of introduction and are tracked through resolution.</w:t>
      </w:r>
    </w:p>
    <w:p>
      <w:r>
        <w:br w:type="page"/>
      </w:r>
    </w:p>
    <w:p>
      <w:pPr>
        <w:pStyle w:val="Heading1"/>
      </w:pPr>
      <w:r>
        <w:t>9. References &amp; Further Reading</w:t>
      </w:r>
    </w:p>
    <w:p>
      <w:pPr>
        <w:pStyle w:val="Heading2"/>
      </w:pPr>
      <w:r>
        <w:t>9.1 Security Testing Tools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E3A5F"/>
          </w:tcPr>
          <w:p>
            <w:pPr>
              <w:jc w:val="left"/>
            </w:pPr>
            <w:r/>
            <w:r>
              <w:rPr>
                <w:rFonts w:ascii="Calibri" w:hAnsi="Calibri"/>
                <w:b/>
                <w:color w:val="FFFFFF"/>
                <w:sz w:val="20"/>
              </w:rPr>
              <w:t>Resource</w:t>
            </w:r>
          </w:p>
        </w:tc>
        <w:tc>
          <w:tcPr>
            <w:tcW w:type="dxa" w:w="4320"/>
            <w:shd w:fill="1E3A5F"/>
          </w:tcPr>
          <w:p>
            <w:pPr>
              <w:jc w:val="left"/>
            </w:pPr>
            <w:r/>
            <w:r>
              <w:rPr>
                <w:rFonts w:ascii="Calibri" w:hAnsi="Calibri"/>
                <w:b/>
                <w:color w:val="FFFFFF"/>
                <w:sz w:val="20"/>
              </w:rPr>
              <w:t>Description</w:t>
            </w:r>
          </w:p>
        </w:tc>
        <w:tc>
          <w:tcPr>
            <w:tcW w:type="dxa" w:w="2880"/>
            <w:shd w:fill="1E3A5F"/>
          </w:tcPr>
          <w:p>
            <w:pPr>
              <w:jc w:val="left"/>
            </w:pPr>
            <w:r/>
            <w:r>
              <w:rPr>
                <w:rFonts w:ascii="Calibri" w:hAnsi="Calibri"/>
                <w:b/>
                <w:color w:val="FFFFFF"/>
                <w:sz w:val="20"/>
              </w:rPr>
              <w:t>URL</w:t>
            </w:r>
          </w:p>
        </w:tc>
      </w:tr>
      <w:tr>
        <w:tc>
          <w:tcPr>
            <w:tcW w:type="dxa" w:w="2592"/>
          </w:tcPr>
          <w:p>
            <w:r/>
            <w:r>
              <w:rPr>
                <w:rFonts w:ascii="Calibri" w:hAnsi="Calibri"/>
                <w:color w:val="333333"/>
                <w:sz w:val="20"/>
              </w:rPr>
              <w:t>Semgrep Documentation</w:t>
            </w:r>
          </w:p>
        </w:tc>
        <w:tc>
          <w:tcPr>
            <w:tcW w:type="dxa" w:w="4320"/>
          </w:tcPr>
          <w:p>
            <w:r/>
            <w:r>
              <w:rPr>
                <w:rFonts w:ascii="Calibri" w:hAnsi="Calibri"/>
                <w:color w:val="333333"/>
                <w:sz w:val="20"/>
              </w:rPr>
              <w:t>Lightweight static analysis for finding bugs and enforcing code standards</w:t>
            </w:r>
          </w:p>
        </w:tc>
        <w:tc>
          <w:tcPr>
            <w:tcW w:type="dxa" w:w="2880"/>
          </w:tcPr>
          <w:p>
            <w:r/>
            <w:r>
              <w:rPr>
                <w:rFonts w:ascii="Calibri" w:hAnsi="Calibri"/>
                <w:color w:val="333333"/>
                <w:sz w:val="20"/>
              </w:rPr>
              <w:t>https://semgrep.dev/docs/</w:t>
            </w:r>
          </w:p>
        </w:tc>
      </w:tr>
      <w:tr>
        <w:tc>
          <w:tcPr>
            <w:tcW w:type="dxa" w:w="2592"/>
            <w:shd w:fill="F5F5F5"/>
          </w:tcPr>
          <w:p>
            <w:r/>
            <w:r>
              <w:rPr>
                <w:rFonts w:ascii="Calibri" w:hAnsi="Calibri"/>
                <w:color w:val="333333"/>
                <w:sz w:val="20"/>
              </w:rPr>
              <w:t>OWASP ZAP</w:t>
            </w:r>
          </w:p>
        </w:tc>
        <w:tc>
          <w:tcPr>
            <w:tcW w:type="dxa" w:w="4320"/>
            <w:shd w:fill="F5F5F5"/>
          </w:tcPr>
          <w:p>
            <w:r/>
            <w:r>
              <w:rPr>
                <w:rFonts w:ascii="Calibri" w:hAnsi="Calibri"/>
                <w:color w:val="333333"/>
                <w:sz w:val="20"/>
              </w:rPr>
              <w:t>The world's most widely used web application security scanner</w:t>
            </w:r>
          </w:p>
        </w:tc>
        <w:tc>
          <w:tcPr>
            <w:tcW w:type="dxa" w:w="2880"/>
            <w:shd w:fill="F5F5F5"/>
          </w:tcPr>
          <w:p>
            <w:r/>
            <w:r>
              <w:rPr>
                <w:rFonts w:ascii="Calibri" w:hAnsi="Calibri"/>
                <w:color w:val="333333"/>
                <w:sz w:val="20"/>
              </w:rPr>
              <w:t>https://www.zaproxy.org/docs/</w:t>
            </w:r>
          </w:p>
        </w:tc>
      </w:tr>
      <w:tr>
        <w:tc>
          <w:tcPr>
            <w:tcW w:type="dxa" w:w="2592"/>
          </w:tcPr>
          <w:p>
            <w:r/>
            <w:r>
              <w:rPr>
                <w:rFonts w:ascii="Calibri" w:hAnsi="Calibri"/>
                <w:color w:val="333333"/>
                <w:sz w:val="20"/>
              </w:rPr>
              <w:t>Checkov</w:t>
            </w:r>
          </w:p>
        </w:tc>
        <w:tc>
          <w:tcPr>
            <w:tcW w:type="dxa" w:w="4320"/>
          </w:tcPr>
          <w:p>
            <w:r/>
            <w:r>
              <w:rPr>
                <w:rFonts w:ascii="Calibri" w:hAnsi="Calibri"/>
                <w:color w:val="333333"/>
                <w:sz w:val="20"/>
              </w:rPr>
              <w:t>Policy-as-code tool for scanning IaC files for security misconfigurations</w:t>
            </w:r>
          </w:p>
        </w:tc>
        <w:tc>
          <w:tcPr>
            <w:tcW w:type="dxa" w:w="2880"/>
          </w:tcPr>
          <w:p>
            <w:r/>
            <w:r>
              <w:rPr>
                <w:rFonts w:ascii="Calibri" w:hAnsi="Calibri"/>
                <w:color w:val="333333"/>
                <w:sz w:val="20"/>
              </w:rPr>
              <w:t>https://www.checkov.io/1.Welcome/What%20is%20Checkov.html</w:t>
            </w:r>
          </w:p>
        </w:tc>
      </w:tr>
    </w:tbl>
    <w:p/>
    <w:p>
      <w:pPr>
        <w:pStyle w:val="Heading2"/>
      </w:pPr>
      <w:r>
        <w:t>9.2 Standards &amp; Frameworks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E3A5F"/>
          </w:tcPr>
          <w:p>
            <w:pPr>
              <w:jc w:val="left"/>
            </w:pPr>
            <w:r/>
            <w:r>
              <w:rPr>
                <w:rFonts w:ascii="Calibri" w:hAnsi="Calibri"/>
                <w:b/>
                <w:color w:val="FFFFFF"/>
                <w:sz w:val="20"/>
              </w:rPr>
              <w:t>Resource</w:t>
            </w:r>
          </w:p>
        </w:tc>
        <w:tc>
          <w:tcPr>
            <w:tcW w:type="dxa" w:w="4320"/>
            <w:shd w:fill="1E3A5F"/>
          </w:tcPr>
          <w:p>
            <w:pPr>
              <w:jc w:val="left"/>
            </w:pPr>
            <w:r/>
            <w:r>
              <w:rPr>
                <w:rFonts w:ascii="Calibri" w:hAnsi="Calibri"/>
                <w:b/>
                <w:color w:val="FFFFFF"/>
                <w:sz w:val="20"/>
              </w:rPr>
              <w:t>Description</w:t>
            </w:r>
          </w:p>
        </w:tc>
        <w:tc>
          <w:tcPr>
            <w:tcW w:type="dxa" w:w="2880"/>
            <w:shd w:fill="1E3A5F"/>
          </w:tcPr>
          <w:p>
            <w:pPr>
              <w:jc w:val="left"/>
            </w:pPr>
            <w:r/>
            <w:r>
              <w:rPr>
                <w:rFonts w:ascii="Calibri" w:hAnsi="Calibri"/>
                <w:b/>
                <w:color w:val="FFFFFF"/>
                <w:sz w:val="20"/>
              </w:rPr>
              <w:t>URL</w:t>
            </w:r>
          </w:p>
        </w:tc>
      </w:tr>
      <w:tr>
        <w:tc>
          <w:tcPr>
            <w:tcW w:type="dxa" w:w="2592"/>
          </w:tcPr>
          <w:p>
            <w:r/>
            <w:r>
              <w:rPr>
                <w:rFonts w:ascii="Calibri" w:hAnsi="Calibri"/>
                <w:color w:val="333333"/>
                <w:sz w:val="20"/>
              </w:rPr>
              <w:t>OWASP Top 10 2025</w:t>
            </w:r>
          </w:p>
        </w:tc>
        <w:tc>
          <w:tcPr>
            <w:tcW w:type="dxa" w:w="4320"/>
          </w:tcPr>
          <w:p>
            <w:r/>
            <w:r>
              <w:rPr>
                <w:rFonts w:ascii="Calibri" w:hAnsi="Calibri"/>
                <w:color w:val="333333"/>
                <w:sz w:val="20"/>
              </w:rPr>
              <w:t>The most critical web application security risks (latest edition)</w:t>
            </w:r>
          </w:p>
        </w:tc>
        <w:tc>
          <w:tcPr>
            <w:tcW w:type="dxa" w:w="2880"/>
          </w:tcPr>
          <w:p>
            <w:r/>
            <w:r>
              <w:rPr>
                <w:rFonts w:ascii="Calibri" w:hAnsi="Calibri"/>
                <w:color w:val="333333"/>
                <w:sz w:val="20"/>
              </w:rPr>
              <w:t>https://owasp.org/Top10/2025/</w:t>
            </w:r>
          </w:p>
        </w:tc>
      </w:tr>
      <w:tr>
        <w:tc>
          <w:tcPr>
            <w:tcW w:type="dxa" w:w="2592"/>
            <w:shd w:fill="F5F5F5"/>
          </w:tcPr>
          <w:p>
            <w:r/>
            <w:r>
              <w:rPr>
                <w:rFonts w:ascii="Calibri" w:hAnsi="Calibri"/>
                <w:color w:val="333333"/>
                <w:sz w:val="20"/>
              </w:rPr>
              <w:t>OWASP ASVS</w:t>
            </w:r>
          </w:p>
        </w:tc>
        <w:tc>
          <w:tcPr>
            <w:tcW w:type="dxa" w:w="4320"/>
            <w:shd w:fill="F5F5F5"/>
          </w:tcPr>
          <w:p>
            <w:r/>
            <w:r>
              <w:rPr>
                <w:rFonts w:ascii="Calibri" w:hAnsi="Calibri"/>
                <w:color w:val="333333"/>
                <w:sz w:val="20"/>
              </w:rPr>
              <w:t>Application Security Verification Standard for secure development</w:t>
            </w:r>
          </w:p>
        </w:tc>
        <w:tc>
          <w:tcPr>
            <w:tcW w:type="dxa" w:w="2880"/>
            <w:shd w:fill="F5F5F5"/>
          </w:tcPr>
          <w:p>
            <w:r/>
            <w:r>
              <w:rPr>
                <w:rFonts w:ascii="Calibri" w:hAnsi="Calibri"/>
                <w:color w:val="333333"/>
                <w:sz w:val="20"/>
              </w:rPr>
              <w:t>https://owasp.org/www-project-application-security-verification-standard/</w:t>
            </w:r>
          </w:p>
        </w:tc>
      </w:tr>
      <w:tr>
        <w:tc>
          <w:tcPr>
            <w:tcW w:type="dxa" w:w="2592"/>
          </w:tcPr>
          <w:p>
            <w:r/>
            <w:r>
              <w:rPr>
                <w:rFonts w:ascii="Calibri" w:hAnsi="Calibri"/>
                <w:color w:val="333333"/>
                <w:sz w:val="20"/>
              </w:rPr>
              <w:t>NIST SP 800-53</w:t>
            </w:r>
          </w:p>
        </w:tc>
        <w:tc>
          <w:tcPr>
            <w:tcW w:type="dxa" w:w="4320"/>
          </w:tcPr>
          <w:p>
            <w:r/>
            <w:r>
              <w:rPr>
                <w:rFonts w:ascii="Calibri" w:hAnsi="Calibri"/>
                <w:color w:val="333333"/>
                <w:sz w:val="20"/>
              </w:rPr>
              <w:t>Security and Privacy Controls for Information Systems</w:t>
            </w:r>
          </w:p>
        </w:tc>
        <w:tc>
          <w:tcPr>
            <w:tcW w:type="dxa" w:w="2880"/>
          </w:tcPr>
          <w:p>
            <w:r/>
            <w:r>
              <w:rPr>
                <w:rFonts w:ascii="Calibri" w:hAnsi="Calibri"/>
                <w:color w:val="333333"/>
                <w:sz w:val="20"/>
              </w:rPr>
              <w:t>https://csf.tools/reference/nist-sp-800-53/</w:t>
            </w:r>
          </w:p>
        </w:tc>
      </w:tr>
      <w:tr>
        <w:tc>
          <w:tcPr>
            <w:tcW w:type="dxa" w:w="2592"/>
            <w:shd w:fill="F5F5F5"/>
          </w:tcPr>
          <w:p>
            <w:r/>
            <w:r>
              <w:rPr>
                <w:rFonts w:ascii="Calibri" w:hAnsi="Calibri"/>
                <w:color w:val="333333"/>
                <w:sz w:val="20"/>
              </w:rPr>
              <w:t>SARIF 2.1.0</w:t>
            </w:r>
          </w:p>
        </w:tc>
        <w:tc>
          <w:tcPr>
            <w:tcW w:type="dxa" w:w="4320"/>
            <w:shd w:fill="F5F5F5"/>
          </w:tcPr>
          <w:p>
            <w:r/>
            <w:r>
              <w:rPr>
                <w:rFonts w:ascii="Calibri" w:hAnsi="Calibri"/>
                <w:color w:val="333333"/>
                <w:sz w:val="20"/>
              </w:rPr>
              <w:t>Static Analysis Results Interchange Format specification</w:t>
            </w:r>
          </w:p>
        </w:tc>
        <w:tc>
          <w:tcPr>
            <w:tcW w:type="dxa" w:w="2880"/>
            <w:shd w:fill="F5F5F5"/>
          </w:tcPr>
          <w:p>
            <w:r/>
            <w:r>
              <w:rPr>
                <w:rFonts w:ascii="Calibri" w:hAnsi="Calibri"/>
                <w:color w:val="333333"/>
                <w:sz w:val="20"/>
              </w:rPr>
              <w:t>https://docs.oasis-open.org/sarif/sarif/v2.1.0/sarif-v2.1.0.html</w:t>
            </w:r>
          </w:p>
        </w:tc>
      </w:tr>
      <w:tr>
        <w:tc>
          <w:tcPr>
            <w:tcW w:type="dxa" w:w="2592"/>
          </w:tcPr>
          <w:p>
            <w:r/>
            <w:r>
              <w:rPr>
                <w:rFonts w:ascii="Calibri" w:hAnsi="Calibri"/>
                <w:color w:val="333333"/>
                <w:sz w:val="20"/>
              </w:rPr>
              <w:t>CWE</w:t>
            </w:r>
          </w:p>
        </w:tc>
        <w:tc>
          <w:tcPr>
            <w:tcW w:type="dxa" w:w="4320"/>
          </w:tcPr>
          <w:p>
            <w:r/>
            <w:r>
              <w:rPr>
                <w:rFonts w:ascii="Calibri" w:hAnsi="Calibri"/>
                <w:color w:val="333333"/>
                <w:sz w:val="20"/>
              </w:rPr>
              <w:t>Common Weakness Enumeration — community-developed list of software weaknesses</w:t>
            </w:r>
          </w:p>
        </w:tc>
        <w:tc>
          <w:tcPr>
            <w:tcW w:type="dxa" w:w="2880"/>
          </w:tcPr>
          <w:p>
            <w:r/>
            <w:r>
              <w:rPr>
                <w:rFonts w:ascii="Calibri" w:hAnsi="Calibri"/>
                <w:color w:val="333333"/>
                <w:sz w:val="20"/>
              </w:rPr>
              <w:t>https://cwe.mitre.org/</w:t>
            </w:r>
          </w:p>
        </w:tc>
      </w:tr>
    </w:tbl>
    <w:p/>
    <w:p>
      <w:pPr>
        <w:pStyle w:val="Heading2"/>
      </w:pPr>
      <w:r>
        <w:t>9.3 Azure Security</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E3A5F"/>
          </w:tcPr>
          <w:p>
            <w:pPr>
              <w:jc w:val="left"/>
            </w:pPr>
            <w:r/>
            <w:r>
              <w:rPr>
                <w:rFonts w:ascii="Calibri" w:hAnsi="Calibri"/>
                <w:b/>
                <w:color w:val="FFFFFF"/>
                <w:sz w:val="20"/>
              </w:rPr>
              <w:t>Resource</w:t>
            </w:r>
          </w:p>
        </w:tc>
        <w:tc>
          <w:tcPr>
            <w:tcW w:type="dxa" w:w="4320"/>
            <w:shd w:fill="1E3A5F"/>
          </w:tcPr>
          <w:p>
            <w:pPr>
              <w:jc w:val="left"/>
            </w:pPr>
            <w:r/>
            <w:r>
              <w:rPr>
                <w:rFonts w:ascii="Calibri" w:hAnsi="Calibri"/>
                <w:b/>
                <w:color w:val="FFFFFF"/>
                <w:sz w:val="20"/>
              </w:rPr>
              <w:t>Description</w:t>
            </w:r>
          </w:p>
        </w:tc>
        <w:tc>
          <w:tcPr>
            <w:tcW w:type="dxa" w:w="2880"/>
            <w:shd w:fill="1E3A5F"/>
          </w:tcPr>
          <w:p>
            <w:pPr>
              <w:jc w:val="left"/>
            </w:pPr>
            <w:r/>
            <w:r>
              <w:rPr>
                <w:rFonts w:ascii="Calibri" w:hAnsi="Calibri"/>
                <w:b/>
                <w:color w:val="FFFFFF"/>
                <w:sz w:val="20"/>
              </w:rPr>
              <w:t>URL</w:t>
            </w:r>
          </w:p>
        </w:tc>
      </w:tr>
      <w:tr>
        <w:tc>
          <w:tcPr>
            <w:tcW w:type="dxa" w:w="2592"/>
          </w:tcPr>
          <w:p>
            <w:r/>
            <w:r>
              <w:rPr>
                <w:rFonts w:ascii="Calibri" w:hAnsi="Calibri"/>
                <w:color w:val="333333"/>
                <w:sz w:val="20"/>
              </w:rPr>
              <w:t>Azure App Service Security</w:t>
            </w:r>
          </w:p>
        </w:tc>
        <w:tc>
          <w:tcPr>
            <w:tcW w:type="dxa" w:w="4320"/>
          </w:tcPr>
          <w:p>
            <w:r/>
            <w:r>
              <w:rPr>
                <w:rFonts w:ascii="Calibri" w:hAnsi="Calibri"/>
                <w:color w:val="333333"/>
                <w:sz w:val="20"/>
              </w:rPr>
              <w:t>Security features and best practices for App Service</w:t>
            </w:r>
          </w:p>
        </w:tc>
        <w:tc>
          <w:tcPr>
            <w:tcW w:type="dxa" w:w="2880"/>
          </w:tcPr>
          <w:p>
            <w:r/>
            <w:r>
              <w:rPr>
                <w:rFonts w:ascii="Calibri" w:hAnsi="Calibri"/>
                <w:color w:val="333333"/>
                <w:sz w:val="20"/>
              </w:rPr>
              <w:t>https://learn.microsoft.com/en-us/azure/app-service/overview-security</w:t>
            </w:r>
          </w:p>
        </w:tc>
      </w:tr>
      <w:tr>
        <w:tc>
          <w:tcPr>
            <w:tcW w:type="dxa" w:w="2592"/>
            <w:shd w:fill="F5F5F5"/>
          </w:tcPr>
          <w:p>
            <w:r/>
            <w:r>
              <w:rPr>
                <w:rFonts w:ascii="Calibri" w:hAnsi="Calibri"/>
                <w:color w:val="333333"/>
                <w:sz w:val="20"/>
              </w:rPr>
              <w:t>Azure SQL Security</w:t>
            </w:r>
          </w:p>
        </w:tc>
        <w:tc>
          <w:tcPr>
            <w:tcW w:type="dxa" w:w="4320"/>
            <w:shd w:fill="F5F5F5"/>
          </w:tcPr>
          <w:p>
            <w:r/>
            <w:r>
              <w:rPr>
                <w:rFonts w:ascii="Calibri" w:hAnsi="Calibri"/>
                <w:color w:val="333333"/>
                <w:sz w:val="20"/>
              </w:rPr>
              <w:t>Comprehensive security overview for Azure SQL Database</w:t>
            </w:r>
          </w:p>
        </w:tc>
        <w:tc>
          <w:tcPr>
            <w:tcW w:type="dxa" w:w="2880"/>
            <w:shd w:fill="F5F5F5"/>
          </w:tcPr>
          <w:p>
            <w:r/>
            <w:r>
              <w:rPr>
                <w:rFonts w:ascii="Calibri" w:hAnsi="Calibri"/>
                <w:color w:val="333333"/>
                <w:sz w:val="20"/>
              </w:rPr>
              <w:t>https://learn.microsoft.com/en-us/azure/azure-sql/database/security-overview</w:t>
            </w:r>
          </w:p>
        </w:tc>
      </w:tr>
      <w:tr>
        <w:tc>
          <w:tcPr>
            <w:tcW w:type="dxa" w:w="2592"/>
          </w:tcPr>
          <w:p>
            <w:r/>
            <w:r>
              <w:rPr>
                <w:rFonts w:ascii="Calibri" w:hAnsi="Calibri"/>
                <w:color w:val="333333"/>
                <w:sz w:val="20"/>
              </w:rPr>
              <w:t>Azure Defender for Cloud</w:t>
            </w:r>
          </w:p>
        </w:tc>
        <w:tc>
          <w:tcPr>
            <w:tcW w:type="dxa" w:w="4320"/>
          </w:tcPr>
          <w:p>
            <w:r/>
            <w:r>
              <w:rPr>
                <w:rFonts w:ascii="Calibri" w:hAnsi="Calibri"/>
                <w:color w:val="333333"/>
                <w:sz w:val="20"/>
              </w:rPr>
              <w:t>Cloud-native application protection platform</w:t>
            </w:r>
          </w:p>
        </w:tc>
        <w:tc>
          <w:tcPr>
            <w:tcW w:type="dxa" w:w="2880"/>
          </w:tcPr>
          <w:p>
            <w:r/>
            <w:r>
              <w:rPr>
                <w:rFonts w:ascii="Calibri" w:hAnsi="Calibri"/>
                <w:color w:val="333333"/>
                <w:sz w:val="20"/>
              </w:rPr>
              <w:t>https://learn.microsoft.com/en-us/azure/defender-for-cloud/</w:t>
            </w:r>
          </w:p>
        </w:tc>
      </w:tr>
      <w:tr>
        <w:tc>
          <w:tcPr>
            <w:tcW w:type="dxa" w:w="2592"/>
            <w:shd w:fill="F5F5F5"/>
          </w:tcPr>
          <w:p>
            <w:r/>
            <w:r>
              <w:rPr>
                <w:rFonts w:ascii="Calibri" w:hAnsi="Calibri"/>
                <w:color w:val="333333"/>
                <w:sz w:val="20"/>
              </w:rPr>
              <w:t>Azure Private Endpoints</w:t>
            </w:r>
          </w:p>
        </w:tc>
        <w:tc>
          <w:tcPr>
            <w:tcW w:type="dxa" w:w="4320"/>
            <w:shd w:fill="F5F5F5"/>
          </w:tcPr>
          <w:p>
            <w:r/>
            <w:r>
              <w:rPr>
                <w:rFonts w:ascii="Calibri" w:hAnsi="Calibri"/>
                <w:color w:val="333333"/>
                <w:sz w:val="20"/>
              </w:rPr>
              <w:t>Network isolation for Azure PaaS services</w:t>
            </w:r>
          </w:p>
        </w:tc>
        <w:tc>
          <w:tcPr>
            <w:tcW w:type="dxa" w:w="2880"/>
            <w:shd w:fill="F5F5F5"/>
          </w:tcPr>
          <w:p>
            <w:r/>
            <w:r>
              <w:rPr>
                <w:rFonts w:ascii="Calibri" w:hAnsi="Calibri"/>
                <w:color w:val="333333"/>
                <w:sz w:val="20"/>
              </w:rPr>
              <w:t>https://learn.microsoft.com/en-us/azure/private-link/private-endpoint-overview</w:t>
            </w:r>
          </w:p>
        </w:tc>
      </w:tr>
    </w:tbl>
    <w:p/>
    <w:p>
      <w:r>
        <w:br w:type="page"/>
      </w:r>
    </w:p>
    <w:p>
      <w:pPr>
        <w:pStyle w:val="Heading1"/>
      </w:pPr>
      <w:r>
        <w:t>10. Appendices</w:t>
      </w:r>
    </w:p>
    <w:p>
      <w:pPr>
        <w:pStyle w:val="Heading2"/>
      </w:pPr>
      <w:r>
        <w:t>Appendix A: Tool Versions and Configuration</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E3A5F"/>
          </w:tcPr>
          <w:p>
            <w:pPr>
              <w:jc w:val="left"/>
            </w:pPr>
            <w:r/>
            <w:r>
              <w:rPr>
                <w:rFonts w:ascii="Calibri" w:hAnsi="Calibri"/>
                <w:b/>
                <w:color w:val="FFFFFF"/>
                <w:sz w:val="20"/>
              </w:rPr>
              <w:t>Tool</w:t>
            </w:r>
          </w:p>
        </w:tc>
        <w:tc>
          <w:tcPr>
            <w:tcW w:type="dxa" w:w="1440"/>
            <w:shd w:fill="1E3A5F"/>
          </w:tcPr>
          <w:p>
            <w:pPr>
              <w:jc w:val="left"/>
            </w:pPr>
            <w:r/>
            <w:r>
              <w:rPr>
                <w:rFonts w:ascii="Calibri" w:hAnsi="Calibri"/>
                <w:b/>
                <w:color w:val="FFFFFF"/>
                <w:sz w:val="20"/>
              </w:rPr>
              <w:t>Version</w:t>
            </w:r>
          </w:p>
        </w:tc>
        <w:tc>
          <w:tcPr>
            <w:tcW w:type="dxa" w:w="6192"/>
            <w:shd w:fill="1E3A5F"/>
          </w:tcPr>
          <w:p>
            <w:pPr>
              <w:jc w:val="left"/>
            </w:pPr>
            <w:r/>
            <w:r>
              <w:rPr>
                <w:rFonts w:ascii="Calibri" w:hAnsi="Calibri"/>
                <w:b/>
                <w:color w:val="FFFFFF"/>
                <w:sz w:val="20"/>
              </w:rPr>
              <w:t>Configuration</w:t>
            </w:r>
          </w:p>
        </w:tc>
      </w:tr>
      <w:tr>
        <w:tc>
          <w:tcPr>
            <w:tcW w:type="dxa" w:w="2160"/>
          </w:tcPr>
          <w:p>
            <w:r/>
            <w:r>
              <w:rPr>
                <w:rFonts w:ascii="Calibri" w:hAnsi="Calibri"/>
                <w:color w:val="333333"/>
                <w:sz w:val="20"/>
              </w:rPr>
              <w:t>Semgrep OSS</w:t>
            </w:r>
          </w:p>
        </w:tc>
        <w:tc>
          <w:tcPr>
            <w:tcW w:type="dxa" w:w="1440"/>
          </w:tcPr>
          <w:p>
            <w:r/>
            <w:r>
              <w:rPr>
                <w:rFonts w:ascii="Calibri" w:hAnsi="Calibri"/>
                <w:color w:val="333333"/>
                <w:sz w:val="20"/>
              </w:rPr>
              <w:t>1.153.1</w:t>
            </w:r>
          </w:p>
        </w:tc>
        <w:tc>
          <w:tcPr>
            <w:tcW w:type="dxa" w:w="6192"/>
          </w:tcPr>
          <w:p>
            <w:r/>
            <w:r>
              <w:rPr>
                <w:rFonts w:ascii="Calibri" w:hAnsi="Calibri"/>
                <w:color w:val="333333"/>
                <w:sz w:val="20"/>
              </w:rPr>
              <w:t>Rule packs: auto, csharp, typescript, react, secrets, owasp-top-ten (2025 mappings). Severity: ERROR + WARNING.</w:t>
            </w:r>
          </w:p>
        </w:tc>
      </w:tr>
      <w:tr>
        <w:tc>
          <w:tcPr>
            <w:tcW w:type="dxa" w:w="2160"/>
            <w:shd w:fill="F5F5F5"/>
          </w:tcPr>
          <w:p>
            <w:r/>
            <w:r>
              <w:rPr>
                <w:rFonts w:ascii="Calibri" w:hAnsi="Calibri"/>
                <w:color w:val="333333"/>
                <w:sz w:val="20"/>
              </w:rPr>
              <w:t>OWASP ZAP</w:t>
            </w:r>
          </w:p>
        </w:tc>
        <w:tc>
          <w:tcPr>
            <w:tcW w:type="dxa" w:w="1440"/>
            <w:shd w:fill="F5F5F5"/>
          </w:tcPr>
          <w:p>
            <w:r/>
            <w:r>
              <w:rPr>
                <w:rFonts w:ascii="Calibri" w:hAnsi="Calibri"/>
                <w:color w:val="333333"/>
                <w:sz w:val="20"/>
              </w:rPr>
              <w:t>2.17.0</w:t>
            </w:r>
          </w:p>
        </w:tc>
        <w:tc>
          <w:tcPr>
            <w:tcW w:type="dxa" w:w="6192"/>
            <w:shd w:fill="F5F5F5"/>
          </w:tcPr>
          <w:p>
            <w:r/>
            <w:r>
              <w:rPr>
                <w:rFonts w:ascii="Calibri" w:hAnsi="Calibri"/>
                <w:color w:val="333333"/>
                <w:sz w:val="20"/>
              </w:rPr>
              <w:t>Baseline scan (passive) + API scan (active, OpenAPI-driven). Custom rules.tsv for exclusions.</w:t>
            </w:r>
          </w:p>
        </w:tc>
      </w:tr>
      <w:tr>
        <w:tc>
          <w:tcPr>
            <w:tcW w:type="dxa" w:w="2160"/>
          </w:tcPr>
          <w:p>
            <w:r/>
            <w:r>
              <w:rPr>
                <w:rFonts w:ascii="Calibri" w:hAnsi="Calibri"/>
                <w:color w:val="333333"/>
                <w:sz w:val="20"/>
              </w:rPr>
              <w:t>Checkov</w:t>
            </w:r>
          </w:p>
        </w:tc>
        <w:tc>
          <w:tcPr>
            <w:tcW w:type="dxa" w:w="1440"/>
          </w:tcPr>
          <w:p>
            <w:r/>
            <w:r>
              <w:rPr>
                <w:rFonts w:ascii="Calibri" w:hAnsi="Calibri"/>
                <w:color w:val="333333"/>
                <w:sz w:val="20"/>
              </w:rPr>
              <w:t>3.2.507</w:t>
            </w:r>
          </w:p>
        </w:tc>
        <w:tc>
          <w:tcPr>
            <w:tcW w:type="dxa" w:w="6192"/>
          </w:tcPr>
          <w:p>
            <w:r/>
            <w:r>
              <w:rPr>
                <w:rFonts w:ascii="Calibri" w:hAnsi="Calibri"/>
                <w:color w:val="333333"/>
                <w:sz w:val="20"/>
              </w:rPr>
              <w:t>Framework: azure. Scans all .bicep files in infrastructure/ directory.</w:t>
            </w:r>
          </w:p>
        </w:tc>
      </w:tr>
      <w:tr>
        <w:tc>
          <w:tcPr>
            <w:tcW w:type="dxa" w:w="2160"/>
            <w:shd w:fill="F5F5F5"/>
          </w:tcPr>
          <w:p>
            <w:r/>
            <w:r>
              <w:rPr>
                <w:rFonts w:ascii="Calibri" w:hAnsi="Calibri"/>
                <w:color w:val="333333"/>
                <w:sz w:val="20"/>
              </w:rPr>
              <w:t>SARIF Consolidation</w:t>
            </w:r>
          </w:p>
        </w:tc>
        <w:tc>
          <w:tcPr>
            <w:tcW w:type="dxa" w:w="1440"/>
            <w:shd w:fill="F5F5F5"/>
          </w:tcPr>
          <w:p>
            <w:r/>
            <w:r>
              <w:rPr>
                <w:rFonts w:ascii="Calibri" w:hAnsi="Calibri"/>
                <w:color w:val="333333"/>
                <w:sz w:val="20"/>
              </w:rPr>
              <w:t>Custom</w:t>
            </w:r>
          </w:p>
        </w:tc>
        <w:tc>
          <w:tcPr>
            <w:tcW w:type="dxa" w:w="6192"/>
            <w:shd w:fill="F5F5F5"/>
          </w:tcPr>
          <w:p>
            <w:r/>
            <w:r>
              <w:rPr>
                <w:rFonts w:ascii="Calibri" w:hAnsi="Calibri"/>
                <w:color w:val="333333"/>
                <w:sz w:val="20"/>
              </w:rPr>
              <w:t>Python script merges SAST, DAST baseline, DAST API, and IaC results into unified SARIF 2.1.0.</w:t>
            </w:r>
          </w:p>
        </w:tc>
      </w:tr>
    </w:tbl>
    <w:p/>
    <w:p>
      <w:pPr>
        <w:pStyle w:val="Heading2"/>
      </w:pPr>
      <w:r>
        <w:t>Appendix B: ZAP Rule Exclusions</w:t>
      </w:r>
    </w:p>
    <w:p>
      <w:r>
        <w:rPr>
          <w:rFonts w:ascii="Calibri" w:hAnsi="Calibri"/>
          <w:color w:val="333333"/>
          <w:sz w:val="22"/>
        </w:rPr>
        <w:t>The following ZAP rules are configured with custom actions in the .zap/rules.tsv file. IGNORE rules are excluded from scan results with documented rationale. WARN rules are included but at a reduced severity to ensure they are reviewed without triggering false alerts.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E3A5F"/>
          </w:tcPr>
          <w:p>
            <w:pPr>
              <w:jc w:val="left"/>
            </w:pPr>
            <w:r/>
            <w:r>
              <w:rPr>
                <w:rFonts w:ascii="Calibri" w:hAnsi="Calibri"/>
                <w:b/>
                <w:color w:val="FFFFFF"/>
                <w:sz w:val="20"/>
              </w:rPr>
              <w:t>Rule ID</w:t>
            </w:r>
          </w:p>
        </w:tc>
        <w:tc>
          <w:tcPr>
            <w:tcW w:type="dxa" w:w="1440"/>
            <w:shd w:fill="1E3A5F"/>
          </w:tcPr>
          <w:p>
            <w:pPr>
              <w:jc w:val="left"/>
            </w:pPr>
            <w:r/>
            <w:r>
              <w:rPr>
                <w:rFonts w:ascii="Calibri" w:hAnsi="Calibri"/>
                <w:b/>
                <w:color w:val="FFFFFF"/>
                <w:sz w:val="20"/>
              </w:rPr>
              <w:t>Action</w:t>
            </w:r>
          </w:p>
        </w:tc>
        <w:tc>
          <w:tcPr>
            <w:tcW w:type="dxa" w:w="6912"/>
            <w:shd w:fill="1E3A5F"/>
          </w:tcPr>
          <w:p>
            <w:pPr>
              <w:jc w:val="left"/>
            </w:pPr>
            <w:r/>
            <w:r>
              <w:rPr>
                <w:rFonts w:ascii="Calibri" w:hAnsi="Calibri"/>
                <w:b/>
                <w:color w:val="FFFFFF"/>
                <w:sz w:val="20"/>
              </w:rPr>
              <w:t>Rationale</w:t>
            </w:r>
          </w:p>
        </w:tc>
      </w:tr>
      <w:tr>
        <w:tc>
          <w:tcPr>
            <w:tcW w:type="dxa" w:w="1440"/>
          </w:tcPr>
          <w:p>
            <w:r/>
            <w:r>
              <w:rPr>
                <w:rFonts w:ascii="Calibri" w:hAnsi="Calibri"/>
                <w:color w:val="333333"/>
                <w:sz w:val="20"/>
              </w:rPr>
              <w:t>10038</w:t>
            </w:r>
          </w:p>
        </w:tc>
        <w:tc>
          <w:tcPr>
            <w:tcW w:type="dxa" w:w="1440"/>
          </w:tcPr>
          <w:p>
            <w:r/>
            <w:r>
              <w:rPr>
                <w:rFonts w:ascii="Calibri" w:hAnsi="Calibri"/>
                <w:color w:val="333333"/>
                <w:sz w:val="20"/>
              </w:rPr>
              <w:t>IGNORE</w:t>
            </w:r>
          </w:p>
        </w:tc>
        <w:tc>
          <w:tcPr>
            <w:tcW w:type="dxa" w:w="6912"/>
          </w:tcPr>
          <w:p>
            <w:r/>
            <w:r>
              <w:rPr>
                <w:rFonts w:ascii="Calibri" w:hAnsi="Calibri"/>
                <w:color w:val="333333"/>
                <w:sz w:val="20"/>
              </w:rPr>
              <w:t>Content Security Policy Header Not Set — planned for future implementation</w:t>
            </w:r>
          </w:p>
        </w:tc>
      </w:tr>
      <w:tr>
        <w:tc>
          <w:tcPr>
            <w:tcW w:type="dxa" w:w="1440"/>
            <w:shd w:fill="F5F5F5"/>
          </w:tcPr>
          <w:p>
            <w:r/>
            <w:r>
              <w:rPr>
                <w:rFonts w:ascii="Calibri" w:hAnsi="Calibri"/>
                <w:color w:val="333333"/>
                <w:sz w:val="20"/>
              </w:rPr>
              <w:t>10063</w:t>
            </w:r>
          </w:p>
        </w:tc>
        <w:tc>
          <w:tcPr>
            <w:tcW w:type="dxa" w:w="1440"/>
            <w:shd w:fill="F5F5F5"/>
          </w:tcPr>
          <w:p>
            <w:r/>
            <w:r>
              <w:rPr>
                <w:rFonts w:ascii="Calibri" w:hAnsi="Calibri"/>
                <w:color w:val="333333"/>
                <w:sz w:val="20"/>
              </w:rPr>
              <w:t>IGNORE</w:t>
            </w:r>
          </w:p>
        </w:tc>
        <w:tc>
          <w:tcPr>
            <w:tcW w:type="dxa" w:w="6912"/>
            <w:shd w:fill="F5F5F5"/>
          </w:tcPr>
          <w:p>
            <w:r/>
            <w:r>
              <w:rPr>
                <w:rFonts w:ascii="Calibri" w:hAnsi="Calibri"/>
                <w:color w:val="333333"/>
                <w:sz w:val="20"/>
              </w:rPr>
              <w:t>Permissions Policy Header Not Set — low risk for backend API</w:t>
            </w:r>
          </w:p>
        </w:tc>
      </w:tr>
      <w:tr>
        <w:tc>
          <w:tcPr>
            <w:tcW w:type="dxa" w:w="1440"/>
          </w:tcPr>
          <w:p>
            <w:r/>
            <w:r>
              <w:rPr>
                <w:rFonts w:ascii="Calibri" w:hAnsi="Calibri"/>
                <w:color w:val="333333"/>
                <w:sz w:val="20"/>
              </w:rPr>
              <w:t>90033</w:t>
            </w:r>
          </w:p>
        </w:tc>
        <w:tc>
          <w:tcPr>
            <w:tcW w:type="dxa" w:w="1440"/>
          </w:tcPr>
          <w:p>
            <w:r/>
            <w:r>
              <w:rPr>
                <w:rFonts w:ascii="Calibri" w:hAnsi="Calibri"/>
                <w:color w:val="333333"/>
                <w:sz w:val="20"/>
              </w:rPr>
              <w:t>IGNORE</w:t>
            </w:r>
          </w:p>
        </w:tc>
        <w:tc>
          <w:tcPr>
            <w:tcW w:type="dxa" w:w="6912"/>
          </w:tcPr>
          <w:p>
            <w:r/>
            <w:r>
              <w:rPr>
                <w:rFonts w:ascii="Calibri" w:hAnsi="Calibri"/>
                <w:color w:val="333333"/>
                <w:sz w:val="20"/>
              </w:rPr>
              <w:t>Loosely Scoped Cookie — Azure platform manages auth cookie scoping</w:t>
            </w:r>
          </w:p>
        </w:tc>
      </w:tr>
      <w:tr>
        <w:tc>
          <w:tcPr>
            <w:tcW w:type="dxa" w:w="1440"/>
            <w:shd w:fill="F5F5F5"/>
          </w:tcPr>
          <w:p>
            <w:r/>
            <w:r>
              <w:rPr>
                <w:rFonts w:ascii="Calibri" w:hAnsi="Calibri"/>
                <w:color w:val="333333"/>
                <w:sz w:val="20"/>
              </w:rPr>
              <w:t>10202</w:t>
            </w:r>
          </w:p>
        </w:tc>
        <w:tc>
          <w:tcPr>
            <w:tcW w:type="dxa" w:w="1440"/>
            <w:shd w:fill="F5F5F5"/>
          </w:tcPr>
          <w:p>
            <w:r/>
            <w:r>
              <w:rPr>
                <w:rFonts w:ascii="Calibri" w:hAnsi="Calibri"/>
                <w:color w:val="333333"/>
                <w:sz w:val="20"/>
              </w:rPr>
              <w:t>IGNORE</w:t>
            </w:r>
          </w:p>
        </w:tc>
        <w:tc>
          <w:tcPr>
            <w:tcW w:type="dxa" w:w="6912"/>
            <w:shd w:fill="F5F5F5"/>
          </w:tcPr>
          <w:p>
            <w:r/>
            <w:r>
              <w:rPr>
                <w:rFonts w:ascii="Calibri" w:hAnsi="Calibri"/>
                <w:color w:val="333333"/>
                <w:sz w:val="20"/>
              </w:rPr>
              <w:t>Anti-CSRF Tokens — API uses JWT bearer auth, CSRF not applicable</w:t>
            </w:r>
          </w:p>
        </w:tc>
      </w:tr>
      <w:tr>
        <w:tc>
          <w:tcPr>
            <w:tcW w:type="dxa" w:w="1440"/>
          </w:tcPr>
          <w:p>
            <w:r/>
            <w:r>
              <w:rPr>
                <w:rFonts w:ascii="Calibri" w:hAnsi="Calibri"/>
                <w:color w:val="333333"/>
                <w:sz w:val="20"/>
              </w:rPr>
              <w:t>10098</w:t>
            </w:r>
          </w:p>
        </w:tc>
        <w:tc>
          <w:tcPr>
            <w:tcW w:type="dxa" w:w="1440"/>
          </w:tcPr>
          <w:p>
            <w:r/>
            <w:r>
              <w:rPr>
                <w:rFonts w:ascii="Calibri" w:hAnsi="Calibri"/>
                <w:color w:val="333333"/>
                <w:sz w:val="20"/>
              </w:rPr>
              <w:t>WARN</w:t>
            </w:r>
          </w:p>
        </w:tc>
        <w:tc>
          <w:tcPr>
            <w:tcW w:type="dxa" w:w="6912"/>
          </w:tcPr>
          <w:p>
            <w:r/>
            <w:r>
              <w:rPr>
                <w:rFonts w:ascii="Calibri" w:hAnsi="Calibri"/>
                <w:color w:val="333333"/>
                <w:sz w:val="20"/>
              </w:rPr>
              <w:t>Cross-Domain Misconfiguration — review if flagged</w:t>
            </w:r>
          </w:p>
        </w:tc>
      </w:tr>
      <w:tr>
        <w:tc>
          <w:tcPr>
            <w:tcW w:type="dxa" w:w="1440"/>
            <w:shd w:fill="F5F5F5"/>
          </w:tcPr>
          <w:p>
            <w:r/>
            <w:r>
              <w:rPr>
                <w:rFonts w:ascii="Calibri" w:hAnsi="Calibri"/>
                <w:color w:val="333333"/>
                <w:sz w:val="20"/>
              </w:rPr>
              <w:t>10020</w:t>
            </w:r>
          </w:p>
        </w:tc>
        <w:tc>
          <w:tcPr>
            <w:tcW w:type="dxa" w:w="1440"/>
            <w:shd w:fill="F5F5F5"/>
          </w:tcPr>
          <w:p>
            <w:r/>
            <w:r>
              <w:rPr>
                <w:rFonts w:ascii="Calibri" w:hAnsi="Calibri"/>
                <w:color w:val="333333"/>
                <w:sz w:val="20"/>
              </w:rPr>
              <w:t>WARN</w:t>
            </w:r>
          </w:p>
        </w:tc>
        <w:tc>
          <w:tcPr>
            <w:tcW w:type="dxa" w:w="6912"/>
            <w:shd w:fill="F5F5F5"/>
          </w:tcPr>
          <w:p>
            <w:r/>
            <w:r>
              <w:rPr>
                <w:rFonts w:ascii="Calibri" w:hAnsi="Calibri"/>
                <w:color w:val="333333"/>
                <w:sz w:val="20"/>
              </w:rPr>
              <w:t>X-Frame-Options Header — recommended improvement</w:t>
            </w:r>
          </w:p>
        </w:tc>
      </w:tr>
      <w:tr>
        <w:tc>
          <w:tcPr>
            <w:tcW w:type="dxa" w:w="1440"/>
          </w:tcPr>
          <w:p>
            <w:r/>
            <w:r>
              <w:rPr>
                <w:rFonts w:ascii="Calibri" w:hAnsi="Calibri"/>
                <w:color w:val="333333"/>
                <w:sz w:val="20"/>
              </w:rPr>
              <w:t>10021</w:t>
            </w:r>
          </w:p>
        </w:tc>
        <w:tc>
          <w:tcPr>
            <w:tcW w:type="dxa" w:w="1440"/>
          </w:tcPr>
          <w:p>
            <w:r/>
            <w:r>
              <w:rPr>
                <w:rFonts w:ascii="Calibri" w:hAnsi="Calibri"/>
                <w:color w:val="333333"/>
                <w:sz w:val="20"/>
              </w:rPr>
              <w:t>WARN</w:t>
            </w:r>
          </w:p>
        </w:tc>
        <w:tc>
          <w:tcPr>
            <w:tcW w:type="dxa" w:w="6912"/>
          </w:tcPr>
          <w:p>
            <w:r/>
            <w:r>
              <w:rPr>
                <w:rFonts w:ascii="Calibri" w:hAnsi="Calibri"/>
                <w:color w:val="333333"/>
                <w:sz w:val="20"/>
              </w:rPr>
              <w:t>X-Content-Type-Options Header Missing — recommended improvement</w:t>
            </w:r>
          </w:p>
        </w:tc>
      </w:tr>
      <w:tr>
        <w:tc>
          <w:tcPr>
            <w:tcW w:type="dxa" w:w="1440"/>
            <w:shd w:fill="F5F5F5"/>
          </w:tcPr>
          <w:p>
            <w:r/>
            <w:r>
              <w:rPr>
                <w:rFonts w:ascii="Calibri" w:hAnsi="Calibri"/>
                <w:color w:val="333333"/>
                <w:sz w:val="20"/>
              </w:rPr>
              <w:t>10036</w:t>
            </w:r>
          </w:p>
        </w:tc>
        <w:tc>
          <w:tcPr>
            <w:tcW w:type="dxa" w:w="1440"/>
            <w:shd w:fill="F5F5F5"/>
          </w:tcPr>
          <w:p>
            <w:r/>
            <w:r>
              <w:rPr>
                <w:rFonts w:ascii="Calibri" w:hAnsi="Calibri"/>
                <w:color w:val="333333"/>
                <w:sz w:val="20"/>
              </w:rPr>
              <w:t>WARN</w:t>
            </w:r>
          </w:p>
        </w:tc>
        <w:tc>
          <w:tcPr>
            <w:tcW w:type="dxa" w:w="6912"/>
            <w:shd w:fill="F5F5F5"/>
          </w:tcPr>
          <w:p>
            <w:r/>
            <w:r>
              <w:rPr>
                <w:rFonts w:ascii="Calibri" w:hAnsi="Calibri"/>
                <w:color w:val="333333"/>
                <w:sz w:val="20"/>
              </w:rPr>
              <w:t>Server Leaks Version Information — cosmetic improvement</w:t>
            </w:r>
          </w:p>
        </w:tc>
      </w:tr>
      <w:tr>
        <w:tc>
          <w:tcPr>
            <w:tcW w:type="dxa" w:w="1440"/>
          </w:tcPr>
          <w:p>
            <w:r/>
            <w:r>
              <w:rPr>
                <w:rFonts w:ascii="Calibri" w:hAnsi="Calibri"/>
                <w:color w:val="333333"/>
                <w:sz w:val="20"/>
              </w:rPr>
              <w:t>40012</w:t>
            </w:r>
          </w:p>
        </w:tc>
        <w:tc>
          <w:tcPr>
            <w:tcW w:type="dxa" w:w="1440"/>
          </w:tcPr>
          <w:p>
            <w:r/>
            <w:r>
              <w:rPr>
                <w:rFonts w:ascii="Calibri" w:hAnsi="Calibri"/>
                <w:color w:val="333333"/>
                <w:sz w:val="20"/>
              </w:rPr>
              <w:t>WARN</w:t>
            </w:r>
          </w:p>
        </w:tc>
        <w:tc>
          <w:tcPr>
            <w:tcW w:type="dxa" w:w="6912"/>
          </w:tcPr>
          <w:p>
            <w:r/>
            <w:r>
              <w:rPr>
                <w:rFonts w:ascii="Calibri" w:hAnsi="Calibri"/>
                <w:color w:val="333333"/>
                <w:sz w:val="20"/>
              </w:rPr>
              <w:t>Cross-Site Scripting (Reflected) — review active scan findings</w:t>
            </w:r>
          </w:p>
        </w:tc>
      </w:tr>
      <w:tr>
        <w:tc>
          <w:tcPr>
            <w:tcW w:type="dxa" w:w="1440"/>
            <w:shd w:fill="F5F5F5"/>
          </w:tcPr>
          <w:p>
            <w:r/>
            <w:r>
              <w:rPr>
                <w:rFonts w:ascii="Calibri" w:hAnsi="Calibri"/>
                <w:color w:val="333333"/>
                <w:sz w:val="20"/>
              </w:rPr>
              <w:t>40014</w:t>
            </w:r>
          </w:p>
        </w:tc>
        <w:tc>
          <w:tcPr>
            <w:tcW w:type="dxa" w:w="1440"/>
            <w:shd w:fill="F5F5F5"/>
          </w:tcPr>
          <w:p>
            <w:r/>
            <w:r>
              <w:rPr>
                <w:rFonts w:ascii="Calibri" w:hAnsi="Calibri"/>
                <w:color w:val="333333"/>
                <w:sz w:val="20"/>
              </w:rPr>
              <w:t>WARN</w:t>
            </w:r>
          </w:p>
        </w:tc>
        <w:tc>
          <w:tcPr>
            <w:tcW w:type="dxa" w:w="6912"/>
            <w:shd w:fill="F5F5F5"/>
          </w:tcPr>
          <w:p>
            <w:r/>
            <w:r>
              <w:rPr>
                <w:rFonts w:ascii="Calibri" w:hAnsi="Calibri"/>
                <w:color w:val="333333"/>
                <w:sz w:val="20"/>
              </w:rPr>
              <w:t>Cross-Site Scripting (Persistent) — review active scan findings</w:t>
            </w:r>
          </w:p>
        </w:tc>
      </w:tr>
      <w:tr>
        <w:tc>
          <w:tcPr>
            <w:tcW w:type="dxa" w:w="1440"/>
          </w:tcPr>
          <w:p>
            <w:r/>
            <w:r>
              <w:rPr>
                <w:rFonts w:ascii="Calibri" w:hAnsi="Calibri"/>
                <w:color w:val="333333"/>
                <w:sz w:val="20"/>
              </w:rPr>
              <w:t>40018</w:t>
            </w:r>
          </w:p>
        </w:tc>
        <w:tc>
          <w:tcPr>
            <w:tcW w:type="dxa" w:w="1440"/>
          </w:tcPr>
          <w:p>
            <w:r/>
            <w:r>
              <w:rPr>
                <w:rFonts w:ascii="Calibri" w:hAnsi="Calibri"/>
                <w:color w:val="333333"/>
                <w:sz w:val="20"/>
              </w:rPr>
              <w:t>WARN</w:t>
            </w:r>
          </w:p>
        </w:tc>
        <w:tc>
          <w:tcPr>
            <w:tcW w:type="dxa" w:w="6912"/>
          </w:tcPr>
          <w:p>
            <w:r/>
            <w:r>
              <w:rPr>
                <w:rFonts w:ascii="Calibri" w:hAnsi="Calibri"/>
                <w:color w:val="333333"/>
                <w:sz w:val="20"/>
              </w:rPr>
              <w:t>SQL Injection — review active scan findings</w:t>
            </w:r>
          </w:p>
        </w:tc>
      </w:tr>
      <w:tr>
        <w:tc>
          <w:tcPr>
            <w:tcW w:type="dxa" w:w="1440"/>
            <w:shd w:fill="F5F5F5"/>
          </w:tcPr>
          <w:p>
            <w:r/>
            <w:r>
              <w:rPr>
                <w:rFonts w:ascii="Calibri" w:hAnsi="Calibri"/>
                <w:color w:val="333333"/>
                <w:sz w:val="20"/>
              </w:rPr>
              <w:t>40003</w:t>
            </w:r>
          </w:p>
        </w:tc>
        <w:tc>
          <w:tcPr>
            <w:tcW w:type="dxa" w:w="1440"/>
            <w:shd w:fill="F5F5F5"/>
          </w:tcPr>
          <w:p>
            <w:r/>
            <w:r>
              <w:rPr>
                <w:rFonts w:ascii="Calibri" w:hAnsi="Calibri"/>
                <w:color w:val="333333"/>
                <w:sz w:val="20"/>
              </w:rPr>
              <w:t>WARN</w:t>
            </w:r>
          </w:p>
        </w:tc>
        <w:tc>
          <w:tcPr>
            <w:tcW w:type="dxa" w:w="6912"/>
            <w:shd w:fill="F5F5F5"/>
          </w:tcPr>
          <w:p>
            <w:r/>
            <w:r>
              <w:rPr>
                <w:rFonts w:ascii="Calibri" w:hAnsi="Calibri"/>
                <w:color w:val="333333"/>
                <w:sz w:val="20"/>
              </w:rPr>
              <w:t>CRLF Injection — review active scan findings</w:t>
            </w:r>
          </w:p>
        </w:tc>
      </w:tr>
    </w:tbl>
    <w:p/>
    <w:p>
      <w:pPr>
        <w:pStyle w:val="Heading2"/>
      </w:pPr>
      <w:r>
        <w:t>Appendix C: Scan Execution Details</w:t>
      </w:r>
    </w:p>
    <w:tbl>
      <w:tblPr>
        <w:tblStyle w:val="TableGrid"/>
        <w:tblW w:type="auto" w:w="0"/>
        <w:jc w:val="center"/>
        <w:tblLook w:firstColumn="1" w:firstRow="1" w:lastColumn="0" w:lastRow="0" w:noHBand="0" w:noVBand="1" w:val="04A0"/>
      </w:tblPr>
      <w:tblGrid>
        <w:gridCol w:w="4680"/>
        <w:gridCol w:w="4680"/>
      </w:tblGrid>
      <w:tr>
        <w:tc>
          <w:tcPr>
            <w:tcW w:type="dxa" w:w="2880"/>
            <w:shd w:fill="1E3A5F"/>
          </w:tcPr>
          <w:p>
            <w:pPr>
              <w:jc w:val="left"/>
            </w:pPr>
            <w:r/>
            <w:r>
              <w:rPr>
                <w:rFonts w:ascii="Calibri" w:hAnsi="Calibri"/>
                <w:b/>
                <w:color w:val="FFFFFF"/>
                <w:sz w:val="20"/>
              </w:rPr>
              <w:t>Property</w:t>
            </w:r>
          </w:p>
        </w:tc>
        <w:tc>
          <w:tcPr>
            <w:tcW w:type="dxa" w:w="6912"/>
            <w:shd w:fill="1E3A5F"/>
          </w:tcPr>
          <w:p>
            <w:pPr>
              <w:jc w:val="left"/>
            </w:pPr>
            <w:r/>
            <w:r>
              <w:rPr>
                <w:rFonts w:ascii="Calibri" w:hAnsi="Calibri"/>
                <w:b/>
                <w:color w:val="FFFFFF"/>
                <w:sz w:val="20"/>
              </w:rPr>
              <w:t>Value</w:t>
            </w:r>
          </w:p>
        </w:tc>
      </w:tr>
      <w:tr>
        <w:tc>
          <w:tcPr>
            <w:tcW w:type="dxa" w:w="2880"/>
          </w:tcPr>
          <w:p>
            <w:r/>
            <w:r>
              <w:rPr>
                <w:rFonts w:ascii="Calibri" w:hAnsi="Calibri"/>
                <w:color w:val="333333"/>
                <w:sz w:val="20"/>
              </w:rPr>
              <w:t>Scan Date</w:t>
            </w:r>
          </w:p>
        </w:tc>
        <w:tc>
          <w:tcPr>
            <w:tcW w:type="dxa" w:w="6912"/>
          </w:tcPr>
          <w:p>
            <w:r/>
            <w:r>
              <w:rPr>
                <w:rFonts w:ascii="Calibri" w:hAnsi="Calibri"/>
                <w:color w:val="333333"/>
                <w:sz w:val="20"/>
              </w:rPr>
              <w:t>March 6, 2026</w:t>
            </w:r>
          </w:p>
        </w:tc>
      </w:tr>
      <w:tr>
        <w:tc>
          <w:tcPr>
            <w:tcW w:type="dxa" w:w="2880"/>
            <w:shd w:fill="F5F5F5"/>
          </w:tcPr>
          <w:p>
            <w:r/>
            <w:r>
              <w:rPr>
                <w:rFonts w:ascii="Calibri" w:hAnsi="Calibri"/>
                <w:color w:val="333333"/>
                <w:sz w:val="20"/>
              </w:rPr>
              <w:t>SAST Target</w:t>
            </w:r>
          </w:p>
        </w:tc>
        <w:tc>
          <w:tcPr>
            <w:tcW w:type="dxa" w:w="6912"/>
            <w:shd w:fill="F5F5F5"/>
          </w:tcPr>
          <w:p>
            <w:r/>
            <w:r>
              <w:rPr>
                <w:rFonts w:ascii="Calibri" w:hAnsi="Calibri"/>
                <w:color w:val="333333"/>
                <w:sz w:val="20"/>
              </w:rPr>
              <w:t>Full source tree (src/)</w:t>
            </w:r>
          </w:p>
        </w:tc>
      </w:tr>
      <w:tr>
        <w:tc>
          <w:tcPr>
            <w:tcW w:type="dxa" w:w="2880"/>
          </w:tcPr>
          <w:p>
            <w:r/>
            <w:r>
              <w:rPr>
                <w:rFonts w:ascii="Calibri" w:hAnsi="Calibri"/>
                <w:color w:val="333333"/>
                <w:sz w:val="20"/>
              </w:rPr>
              <w:t>DAST Target</w:t>
            </w:r>
          </w:p>
        </w:tc>
        <w:tc>
          <w:tcPr>
            <w:tcW w:type="dxa" w:w="6912"/>
          </w:tcPr>
          <w:p>
            <w:r/>
            <w:r>
              <w:rPr>
                <w:rFonts w:ascii="Calibri" w:hAnsi="Calibri"/>
                <w:color w:val="333333"/>
                <w:sz w:val="20"/>
              </w:rPr>
              <w:t>https://app-cadence-api-uat.azurewebsites.net</w:t>
            </w:r>
          </w:p>
        </w:tc>
      </w:tr>
      <w:tr>
        <w:tc>
          <w:tcPr>
            <w:tcW w:type="dxa" w:w="2880"/>
            <w:shd w:fill="F5F5F5"/>
          </w:tcPr>
          <w:p>
            <w:r/>
            <w:r>
              <w:rPr>
                <w:rFonts w:ascii="Calibri" w:hAnsi="Calibri"/>
                <w:color w:val="333333"/>
                <w:sz w:val="20"/>
              </w:rPr>
              <w:t>IaC Target</w:t>
            </w:r>
          </w:p>
        </w:tc>
        <w:tc>
          <w:tcPr>
            <w:tcW w:type="dxa" w:w="6912"/>
            <w:shd w:fill="F5F5F5"/>
          </w:tcPr>
          <w:p>
            <w:r/>
            <w:r>
              <w:rPr>
                <w:rFonts w:ascii="Calibri" w:hAnsi="Calibri"/>
                <w:color w:val="333333"/>
                <w:sz w:val="20"/>
              </w:rPr>
              <w:t>infrastructure/ directory (Bicep templates)</w:t>
            </w:r>
          </w:p>
        </w:tc>
      </w:tr>
      <w:tr>
        <w:tc>
          <w:tcPr>
            <w:tcW w:type="dxa" w:w="2880"/>
          </w:tcPr>
          <w:p>
            <w:r/>
            <w:r>
              <w:rPr>
                <w:rFonts w:ascii="Calibri" w:hAnsi="Calibri"/>
                <w:color w:val="333333"/>
                <w:sz w:val="20"/>
              </w:rPr>
              <w:t>SARIF Schema</w:t>
            </w:r>
          </w:p>
        </w:tc>
        <w:tc>
          <w:tcPr>
            <w:tcW w:type="dxa" w:w="6912"/>
          </w:tcPr>
          <w:p>
            <w:r/>
            <w:r>
              <w:rPr>
                <w:rFonts w:ascii="Calibri" w:hAnsi="Calibri"/>
                <w:color w:val="333333"/>
                <w:sz w:val="20"/>
              </w:rPr>
              <w:t>https://json.schemastore.org/sarif-2.1.0.json</w:t>
            </w:r>
          </w:p>
        </w:tc>
      </w:tr>
      <w:tr>
        <w:tc>
          <w:tcPr>
            <w:tcW w:type="dxa" w:w="2880"/>
            <w:shd w:fill="F5F5F5"/>
          </w:tcPr>
          <w:p>
            <w:r/>
            <w:r>
              <w:rPr>
                <w:rFonts w:ascii="Calibri" w:hAnsi="Calibri"/>
                <w:color w:val="333333"/>
                <w:sz w:val="20"/>
              </w:rPr>
              <w:t>Workflow</w:t>
            </w:r>
          </w:p>
        </w:tc>
        <w:tc>
          <w:tcPr>
            <w:tcW w:type="dxa" w:w="6912"/>
            <w:shd w:fill="F5F5F5"/>
          </w:tcPr>
          <w:p>
            <w:r/>
            <w:r>
              <w:rPr>
                <w:rFonts w:ascii="Calibri" w:hAnsi="Calibri"/>
                <w:color w:val="333333"/>
                <w:sz w:val="20"/>
              </w:rPr>
              <w:t>Security Report (GitHub Actions)</w:t>
            </w:r>
          </w:p>
        </w:tc>
      </w:tr>
      <w:tr>
        <w:tc>
          <w:tcPr>
            <w:tcW w:type="dxa" w:w="2880"/>
          </w:tcPr>
          <w:p>
            <w:r/>
            <w:r>
              <w:rPr>
                <w:rFonts w:ascii="Calibri" w:hAnsi="Calibri"/>
                <w:color w:val="333333"/>
                <w:sz w:val="20"/>
              </w:rPr>
              <w:t>Run ID</w:t>
            </w:r>
          </w:p>
        </w:tc>
        <w:tc>
          <w:tcPr>
            <w:tcW w:type="dxa" w:w="6912"/>
          </w:tcPr>
          <w:p>
            <w:r/>
            <w:r>
              <w:rPr>
                <w:rFonts w:ascii="Calibri" w:hAnsi="Calibri"/>
                <w:color w:val="333333"/>
                <w:sz w:val="20"/>
              </w:rPr>
              <w:t>22767587487</w:t>
            </w:r>
          </w:p>
        </w:tc>
      </w:tr>
      <w:tr>
        <w:tc>
          <w:tcPr>
            <w:tcW w:type="dxa" w:w="2880"/>
            <w:shd w:fill="F5F5F5"/>
          </w:tcPr>
          <w:p>
            <w:r/>
            <w:r>
              <w:rPr>
                <w:rFonts w:ascii="Calibri" w:hAnsi="Calibri"/>
                <w:color w:val="333333"/>
                <w:sz w:val="20"/>
              </w:rPr>
              <w:t>Report Format</w:t>
            </w:r>
          </w:p>
        </w:tc>
        <w:tc>
          <w:tcPr>
            <w:tcW w:type="dxa" w:w="6912"/>
            <w:shd w:fill="F5F5F5"/>
          </w:tcPr>
          <w:p>
            <w:r/>
            <w:r>
              <w:rPr>
                <w:rFonts w:ascii="Calibri" w:hAnsi="Calibri"/>
                <w:color w:val="333333"/>
                <w:sz w:val="20"/>
              </w:rPr>
              <w:t>SARIF 2.1.0 (consolidated), HTML</w:t>
            </w:r>
          </w:p>
        </w:tc>
      </w:tr>
    </w:tbl>
    <w:p/>
    <w:p>
      <w:pPr>
        <w:pStyle w:val="Heading2"/>
      </w:pPr>
      <w:r>
        <w:t>Appendix D: Glossary</w:t>
      </w:r>
    </w:p>
    <w:tbl>
      <w:tblPr>
        <w:tblStyle w:val="TableGrid"/>
        <w:tblW w:type="auto" w:w="0"/>
        <w:jc w:val="center"/>
        <w:tblLook w:firstColumn="1" w:firstRow="1" w:lastColumn="0" w:lastRow="0" w:noHBand="0" w:noVBand="1" w:val="04A0"/>
      </w:tblPr>
      <w:tblGrid>
        <w:gridCol w:w="4680"/>
        <w:gridCol w:w="4680"/>
      </w:tblGrid>
      <w:tr>
        <w:tc>
          <w:tcPr>
            <w:tcW w:type="dxa" w:w="1728"/>
            <w:shd w:fill="1E3A5F"/>
          </w:tcPr>
          <w:p>
            <w:pPr>
              <w:jc w:val="left"/>
            </w:pPr>
            <w:r/>
            <w:r>
              <w:rPr>
                <w:rFonts w:ascii="Calibri" w:hAnsi="Calibri"/>
                <w:b/>
                <w:color w:val="FFFFFF"/>
                <w:sz w:val="20"/>
              </w:rPr>
              <w:t>Term</w:t>
            </w:r>
          </w:p>
        </w:tc>
        <w:tc>
          <w:tcPr>
            <w:tcW w:type="dxa" w:w="8064"/>
            <w:shd w:fill="1E3A5F"/>
          </w:tcPr>
          <w:p>
            <w:pPr>
              <w:jc w:val="left"/>
            </w:pPr>
            <w:r/>
            <w:r>
              <w:rPr>
                <w:rFonts w:ascii="Calibri" w:hAnsi="Calibri"/>
                <w:b/>
                <w:color w:val="FFFFFF"/>
                <w:sz w:val="20"/>
              </w:rPr>
              <w:t>Definition</w:t>
            </w:r>
          </w:p>
        </w:tc>
      </w:tr>
      <w:tr>
        <w:tc>
          <w:tcPr>
            <w:tcW w:type="dxa" w:w="1728"/>
          </w:tcPr>
          <w:p>
            <w:r/>
            <w:r>
              <w:rPr>
                <w:rFonts w:ascii="Calibri" w:hAnsi="Calibri"/>
                <w:color w:val="333333"/>
                <w:sz w:val="20"/>
              </w:rPr>
              <w:t>SAST</w:t>
            </w:r>
          </w:p>
        </w:tc>
        <w:tc>
          <w:tcPr>
            <w:tcW w:type="dxa" w:w="8064"/>
          </w:tcPr>
          <w:p>
            <w:r/>
            <w:r>
              <w:rPr>
                <w:rFonts w:ascii="Calibri" w:hAnsi="Calibri"/>
                <w:color w:val="333333"/>
                <w:sz w:val="20"/>
              </w:rPr>
              <w:t>Static Application Security Testing — analysis of source code without executing the program</w:t>
            </w:r>
          </w:p>
        </w:tc>
      </w:tr>
      <w:tr>
        <w:tc>
          <w:tcPr>
            <w:tcW w:type="dxa" w:w="1728"/>
            <w:shd w:fill="F5F5F5"/>
          </w:tcPr>
          <w:p>
            <w:r/>
            <w:r>
              <w:rPr>
                <w:rFonts w:ascii="Calibri" w:hAnsi="Calibri"/>
                <w:color w:val="333333"/>
                <w:sz w:val="20"/>
              </w:rPr>
              <w:t>DAST</w:t>
            </w:r>
          </w:p>
        </w:tc>
        <w:tc>
          <w:tcPr>
            <w:tcW w:type="dxa" w:w="8064"/>
            <w:shd w:fill="F5F5F5"/>
          </w:tcPr>
          <w:p>
            <w:r/>
            <w:r>
              <w:rPr>
                <w:rFonts w:ascii="Calibri" w:hAnsi="Calibri"/>
                <w:color w:val="333333"/>
                <w:sz w:val="20"/>
              </w:rPr>
              <w:t>Dynamic Application Security Testing — testing a running application for vulnerabilities</w:t>
            </w:r>
          </w:p>
        </w:tc>
      </w:tr>
      <w:tr>
        <w:tc>
          <w:tcPr>
            <w:tcW w:type="dxa" w:w="1728"/>
          </w:tcPr>
          <w:p>
            <w:r/>
            <w:r>
              <w:rPr>
                <w:rFonts w:ascii="Calibri" w:hAnsi="Calibri"/>
                <w:color w:val="333333"/>
                <w:sz w:val="20"/>
              </w:rPr>
              <w:t>IaC</w:t>
            </w:r>
          </w:p>
        </w:tc>
        <w:tc>
          <w:tcPr>
            <w:tcW w:type="dxa" w:w="8064"/>
          </w:tcPr>
          <w:p>
            <w:r/>
            <w:r>
              <w:rPr>
                <w:rFonts w:ascii="Calibri" w:hAnsi="Calibri"/>
                <w:color w:val="333333"/>
                <w:sz w:val="20"/>
              </w:rPr>
              <w:t>Infrastructure as Code — managing infrastructure through declarative configuration files</w:t>
            </w:r>
          </w:p>
        </w:tc>
      </w:tr>
      <w:tr>
        <w:tc>
          <w:tcPr>
            <w:tcW w:type="dxa" w:w="1728"/>
            <w:shd w:fill="F5F5F5"/>
          </w:tcPr>
          <w:p>
            <w:r/>
            <w:r>
              <w:rPr>
                <w:rFonts w:ascii="Calibri" w:hAnsi="Calibri"/>
                <w:color w:val="333333"/>
                <w:sz w:val="20"/>
              </w:rPr>
              <w:t>SARIF</w:t>
            </w:r>
          </w:p>
        </w:tc>
        <w:tc>
          <w:tcPr>
            <w:tcW w:type="dxa" w:w="8064"/>
            <w:shd w:fill="F5F5F5"/>
          </w:tcPr>
          <w:p>
            <w:r/>
            <w:r>
              <w:rPr>
                <w:rFonts w:ascii="Calibri" w:hAnsi="Calibri"/>
                <w:color w:val="333333"/>
                <w:sz w:val="20"/>
              </w:rPr>
              <w:t>Static Analysis Results Interchange Format — standard format for security tool outputs</w:t>
            </w:r>
          </w:p>
        </w:tc>
      </w:tr>
      <w:tr>
        <w:tc>
          <w:tcPr>
            <w:tcW w:type="dxa" w:w="1728"/>
          </w:tcPr>
          <w:p>
            <w:r/>
            <w:r>
              <w:rPr>
                <w:rFonts w:ascii="Calibri" w:hAnsi="Calibri"/>
                <w:color w:val="333333"/>
                <w:sz w:val="20"/>
              </w:rPr>
              <w:t>OWASP</w:t>
            </w:r>
          </w:p>
        </w:tc>
        <w:tc>
          <w:tcPr>
            <w:tcW w:type="dxa" w:w="8064"/>
          </w:tcPr>
          <w:p>
            <w:r/>
            <w:r>
              <w:rPr>
                <w:rFonts w:ascii="Calibri" w:hAnsi="Calibri"/>
                <w:color w:val="333333"/>
                <w:sz w:val="20"/>
              </w:rPr>
              <w:t>Open Worldwide Application Security Project — nonprofit focused on application security</w:t>
            </w:r>
          </w:p>
        </w:tc>
      </w:tr>
      <w:tr>
        <w:tc>
          <w:tcPr>
            <w:tcW w:type="dxa" w:w="1728"/>
            <w:shd w:fill="F5F5F5"/>
          </w:tcPr>
          <w:p>
            <w:r/>
            <w:r>
              <w:rPr>
                <w:rFonts w:ascii="Calibri" w:hAnsi="Calibri"/>
                <w:color w:val="333333"/>
                <w:sz w:val="20"/>
              </w:rPr>
              <w:t>CWE</w:t>
            </w:r>
          </w:p>
        </w:tc>
        <w:tc>
          <w:tcPr>
            <w:tcW w:type="dxa" w:w="8064"/>
            <w:shd w:fill="F5F5F5"/>
          </w:tcPr>
          <w:p>
            <w:r/>
            <w:r>
              <w:rPr>
                <w:rFonts w:ascii="Calibri" w:hAnsi="Calibri"/>
                <w:color w:val="333333"/>
                <w:sz w:val="20"/>
              </w:rPr>
              <w:t>Common Weakness Enumeration — categorized list of software and hardware weakness types</w:t>
            </w:r>
          </w:p>
        </w:tc>
      </w:tr>
      <w:tr>
        <w:tc>
          <w:tcPr>
            <w:tcW w:type="dxa" w:w="1728"/>
          </w:tcPr>
          <w:p>
            <w:r/>
            <w:r>
              <w:rPr>
                <w:rFonts w:ascii="Calibri" w:hAnsi="Calibri"/>
                <w:color w:val="333333"/>
                <w:sz w:val="20"/>
              </w:rPr>
              <w:t>HSEEP</w:t>
            </w:r>
          </w:p>
        </w:tc>
        <w:tc>
          <w:tcPr>
            <w:tcW w:type="dxa" w:w="8064"/>
          </w:tcPr>
          <w:p>
            <w:r/>
            <w:r>
              <w:rPr>
                <w:rFonts w:ascii="Calibri" w:hAnsi="Calibri"/>
                <w:color w:val="333333"/>
                <w:sz w:val="20"/>
              </w:rPr>
              <w:t>Homeland Security Exercise and Evaluation Program — doctrine for exercise design and conduct</w:t>
            </w:r>
          </w:p>
        </w:tc>
      </w:tr>
      <w:tr>
        <w:tc>
          <w:tcPr>
            <w:tcW w:type="dxa" w:w="1728"/>
            <w:shd w:fill="F5F5F5"/>
          </w:tcPr>
          <w:p>
            <w:r/>
            <w:r>
              <w:rPr>
                <w:rFonts w:ascii="Calibri" w:hAnsi="Calibri"/>
                <w:color w:val="333333"/>
                <w:sz w:val="20"/>
              </w:rPr>
              <w:t>MSEL</w:t>
            </w:r>
          </w:p>
        </w:tc>
        <w:tc>
          <w:tcPr>
            <w:tcW w:type="dxa" w:w="8064"/>
            <w:shd w:fill="F5F5F5"/>
          </w:tcPr>
          <w:p>
            <w:r/>
            <w:r>
              <w:rPr>
                <w:rFonts w:ascii="Calibri" w:hAnsi="Calibri"/>
                <w:color w:val="333333"/>
                <w:sz w:val="20"/>
              </w:rPr>
              <w:t>Master Scenario Events List — ordered list of scripted events (injects) for an exercise</w:t>
            </w:r>
          </w:p>
        </w:tc>
      </w:tr>
      <w:tr>
        <w:tc>
          <w:tcPr>
            <w:tcW w:type="dxa" w:w="1728"/>
          </w:tcPr>
          <w:p>
            <w:r/>
            <w:r>
              <w:rPr>
                <w:rFonts w:ascii="Calibri" w:hAnsi="Calibri"/>
                <w:color w:val="333333"/>
                <w:sz w:val="20"/>
              </w:rPr>
              <w:t>JWT</w:t>
            </w:r>
          </w:p>
        </w:tc>
        <w:tc>
          <w:tcPr>
            <w:tcW w:type="dxa" w:w="8064"/>
          </w:tcPr>
          <w:p>
            <w:r/>
            <w:r>
              <w:rPr>
                <w:rFonts w:ascii="Calibri" w:hAnsi="Calibri"/>
                <w:color w:val="333333"/>
                <w:sz w:val="20"/>
              </w:rPr>
              <w:t>JSON Web Token — compact, URL-safe means of representing claims between two parties</w:t>
            </w:r>
          </w:p>
        </w:tc>
      </w:tr>
      <w:tr>
        <w:tc>
          <w:tcPr>
            <w:tcW w:type="dxa" w:w="1728"/>
            <w:shd w:fill="F5F5F5"/>
          </w:tcPr>
          <w:p>
            <w:r/>
            <w:r>
              <w:rPr>
                <w:rFonts w:ascii="Calibri" w:hAnsi="Calibri"/>
                <w:color w:val="333333"/>
                <w:sz w:val="20"/>
              </w:rPr>
              <w:t>HSTS</w:t>
            </w:r>
          </w:p>
        </w:tc>
        <w:tc>
          <w:tcPr>
            <w:tcW w:type="dxa" w:w="8064"/>
            <w:shd w:fill="F5F5F5"/>
          </w:tcPr>
          <w:p>
            <w:r/>
            <w:r>
              <w:rPr>
                <w:rFonts w:ascii="Calibri" w:hAnsi="Calibri"/>
                <w:color w:val="333333"/>
                <w:sz w:val="20"/>
              </w:rPr>
              <w:t>HTTP Strict Transport Security — mechanism to enforce HTTPS connections</w:t>
            </w:r>
          </w:p>
        </w:tc>
      </w:tr>
      <w:tr>
        <w:tc>
          <w:tcPr>
            <w:tcW w:type="dxa" w:w="1728"/>
          </w:tcPr>
          <w:p>
            <w:r/>
            <w:r>
              <w:rPr>
                <w:rFonts w:ascii="Calibri" w:hAnsi="Calibri"/>
                <w:color w:val="333333"/>
                <w:sz w:val="20"/>
              </w:rPr>
              <w:t>TDE</w:t>
            </w:r>
          </w:p>
        </w:tc>
        <w:tc>
          <w:tcPr>
            <w:tcW w:type="dxa" w:w="8064"/>
          </w:tcPr>
          <w:p>
            <w:r/>
            <w:r>
              <w:rPr>
                <w:rFonts w:ascii="Calibri" w:hAnsi="Calibri"/>
                <w:color w:val="333333"/>
                <w:sz w:val="20"/>
              </w:rPr>
              <w:t>Transparent Data Encryption — Azure SQL encryption of data at rest</w:t>
            </w:r>
          </w:p>
        </w:tc>
      </w:tr>
      <w:tr>
        <w:tc>
          <w:tcPr>
            <w:tcW w:type="dxa" w:w="1728"/>
            <w:shd w:fill="F5F5F5"/>
          </w:tcPr>
          <w:p>
            <w:r/>
            <w:r>
              <w:rPr>
                <w:rFonts w:ascii="Calibri" w:hAnsi="Calibri"/>
                <w:color w:val="333333"/>
                <w:sz w:val="20"/>
              </w:rPr>
              <w:t>CIS</w:t>
            </w:r>
          </w:p>
        </w:tc>
        <w:tc>
          <w:tcPr>
            <w:tcW w:type="dxa" w:w="8064"/>
            <w:shd w:fill="F5F5F5"/>
          </w:tcPr>
          <w:p>
            <w:r/>
            <w:r>
              <w:rPr>
                <w:rFonts w:ascii="Calibri" w:hAnsi="Calibri"/>
                <w:color w:val="333333"/>
                <w:sz w:val="20"/>
              </w:rPr>
              <w:t>Center for Internet Security — organization providing security benchmarks and best practices</w:t>
            </w:r>
          </w:p>
        </w:tc>
      </w:tr>
      <w:tr>
        <w:tc>
          <w:tcPr>
            <w:tcW w:type="dxa" w:w="1728"/>
          </w:tcPr>
          <w:p>
            <w:r/>
            <w:r>
              <w:rPr>
                <w:rFonts w:ascii="Calibri" w:hAnsi="Calibri"/>
                <w:color w:val="333333"/>
                <w:sz w:val="20"/>
              </w:rPr>
              <w:t>RBAC</w:t>
            </w:r>
          </w:p>
        </w:tc>
        <w:tc>
          <w:tcPr>
            <w:tcW w:type="dxa" w:w="8064"/>
          </w:tcPr>
          <w:p>
            <w:r/>
            <w:r>
              <w:rPr>
                <w:rFonts w:ascii="Calibri" w:hAnsi="Calibri"/>
                <w:color w:val="333333"/>
                <w:sz w:val="20"/>
              </w:rPr>
              <w:t>Role-Based Access Control — authorization model based on user roles</w:t>
            </w:r>
          </w:p>
        </w:tc>
      </w:tr>
      <w:tr>
        <w:tc>
          <w:tcPr>
            <w:tcW w:type="dxa" w:w="1728"/>
            <w:shd w:fill="F5F5F5"/>
          </w:tcPr>
          <w:p>
            <w:r/>
            <w:r>
              <w:rPr>
                <w:rFonts w:ascii="Calibri" w:hAnsi="Calibri"/>
                <w:color w:val="333333"/>
                <w:sz w:val="20"/>
              </w:rPr>
              <w:t>CORS</w:t>
            </w:r>
          </w:p>
        </w:tc>
        <w:tc>
          <w:tcPr>
            <w:tcW w:type="dxa" w:w="8064"/>
            <w:shd w:fill="F5F5F5"/>
          </w:tcPr>
          <w:p>
            <w:r/>
            <w:r>
              <w:rPr>
                <w:rFonts w:ascii="Calibri" w:hAnsi="Calibri"/>
                <w:color w:val="333333"/>
                <w:sz w:val="20"/>
              </w:rPr>
              <w:t>Cross-Origin Resource Sharing — mechanism to allow restricted resources from another domain</w:t>
            </w:r>
          </w:p>
        </w:tc>
      </w:tr>
      <w:tr>
        <w:tc>
          <w:tcPr>
            <w:tcW w:type="dxa" w:w="1728"/>
          </w:tcPr>
          <w:p>
            <w:r/>
            <w:r>
              <w:rPr>
                <w:rFonts w:ascii="Calibri" w:hAnsi="Calibri"/>
                <w:color w:val="333333"/>
                <w:sz w:val="20"/>
              </w:rPr>
              <w:t>ASVS</w:t>
            </w:r>
          </w:p>
        </w:tc>
        <w:tc>
          <w:tcPr>
            <w:tcW w:type="dxa" w:w="8064"/>
          </w:tcPr>
          <w:p>
            <w:r/>
            <w:r>
              <w:rPr>
                <w:rFonts w:ascii="Calibri" w:hAnsi="Calibri"/>
                <w:color w:val="333333"/>
                <w:sz w:val="20"/>
              </w:rPr>
              <w:t>Application Security Verification Standard — OWASP framework for testing web application security controls</w:t>
            </w:r>
          </w:p>
        </w:tc>
      </w:tr>
      <w:tr>
        <w:tc>
          <w:tcPr>
            <w:tcW w:type="dxa" w:w="1728"/>
            <w:shd w:fill="F5F5F5"/>
          </w:tcPr>
          <w:p>
            <w:r/>
            <w:r>
              <w:rPr>
                <w:rFonts w:ascii="Calibri" w:hAnsi="Calibri"/>
                <w:color w:val="333333"/>
                <w:sz w:val="20"/>
              </w:rPr>
              <w:t>FOUO</w:t>
            </w:r>
          </w:p>
        </w:tc>
        <w:tc>
          <w:tcPr>
            <w:tcW w:type="dxa" w:w="8064"/>
            <w:shd w:fill="F5F5F5"/>
          </w:tcPr>
          <w:p>
            <w:r/>
            <w:r>
              <w:rPr>
                <w:rFonts w:ascii="Calibri" w:hAnsi="Calibri"/>
                <w:color w:val="333333"/>
                <w:sz w:val="20"/>
              </w:rPr>
              <w:t>For Official Use Only — designation for sensitive but unclassified government information</w:t>
            </w:r>
          </w:p>
        </w:tc>
      </w:tr>
      <w:tr>
        <w:tc>
          <w:tcPr>
            <w:tcW w:type="dxa" w:w="1728"/>
          </w:tcPr>
          <w:p>
            <w:r/>
            <w:r>
              <w:rPr>
                <w:rFonts w:ascii="Calibri" w:hAnsi="Calibri"/>
                <w:color w:val="333333"/>
                <w:sz w:val="20"/>
              </w:rPr>
              <w:t>NIST</w:t>
            </w:r>
          </w:p>
        </w:tc>
        <w:tc>
          <w:tcPr>
            <w:tcW w:type="dxa" w:w="8064"/>
          </w:tcPr>
          <w:p>
            <w:r/>
            <w:r>
              <w:rPr>
                <w:rFonts w:ascii="Calibri" w:hAnsi="Calibri"/>
                <w:color w:val="333333"/>
                <w:sz w:val="20"/>
              </w:rPr>
              <w:t>National Institute of Standards and Technology — U.S. agency publishing security standards and frameworks</w:t>
            </w:r>
          </w:p>
        </w:tc>
      </w:tr>
      <w:tr>
        <w:tc>
          <w:tcPr>
            <w:tcW w:type="dxa" w:w="1728"/>
            <w:shd w:fill="F5F5F5"/>
          </w:tcPr>
          <w:p>
            <w:r/>
            <w:r>
              <w:rPr>
                <w:rFonts w:ascii="Calibri" w:hAnsi="Calibri"/>
                <w:color w:val="333333"/>
                <w:sz w:val="20"/>
              </w:rPr>
              <w:t>MFA</w:t>
            </w:r>
          </w:p>
        </w:tc>
        <w:tc>
          <w:tcPr>
            <w:tcW w:type="dxa" w:w="8064"/>
            <w:shd w:fill="F5F5F5"/>
          </w:tcPr>
          <w:p>
            <w:r/>
            <w:r>
              <w:rPr>
                <w:rFonts w:ascii="Calibri" w:hAnsi="Calibri"/>
                <w:color w:val="333333"/>
                <w:sz w:val="20"/>
              </w:rPr>
              <w:t>Multi-Factor Authentication — requiring two or more verification factors for access</w:t>
            </w:r>
          </w:p>
        </w:tc>
      </w:tr>
      <w:tr>
        <w:tc>
          <w:tcPr>
            <w:tcW w:type="dxa" w:w="1728"/>
          </w:tcPr>
          <w:p>
            <w:r/>
            <w:r>
              <w:rPr>
                <w:rFonts w:ascii="Calibri" w:hAnsi="Calibri"/>
                <w:color w:val="333333"/>
                <w:sz w:val="20"/>
              </w:rPr>
              <w:t>SCA</w:t>
            </w:r>
          </w:p>
        </w:tc>
        <w:tc>
          <w:tcPr>
            <w:tcW w:type="dxa" w:w="8064"/>
          </w:tcPr>
          <w:p>
            <w:r/>
            <w:r>
              <w:rPr>
                <w:rFonts w:ascii="Calibri" w:hAnsi="Calibri"/>
                <w:color w:val="333333"/>
                <w:sz w:val="20"/>
              </w:rPr>
              <w:t>Software Composition Analysis — identifying known vulnerabilities in third-party dependencies</w:t>
            </w:r>
          </w:p>
        </w:tc>
      </w:tr>
      <w:tr>
        <w:tc>
          <w:tcPr>
            <w:tcW w:type="dxa" w:w="1728"/>
            <w:shd w:fill="F5F5F5"/>
          </w:tcPr>
          <w:p>
            <w:r/>
            <w:r>
              <w:rPr>
                <w:rFonts w:ascii="Calibri" w:hAnsi="Calibri"/>
                <w:color w:val="333333"/>
                <w:sz w:val="20"/>
              </w:rPr>
              <w:t>CSP</w:t>
            </w:r>
          </w:p>
        </w:tc>
        <w:tc>
          <w:tcPr>
            <w:tcW w:type="dxa" w:w="8064"/>
            <w:shd w:fill="F5F5F5"/>
          </w:tcPr>
          <w:p>
            <w:r/>
            <w:r>
              <w:rPr>
                <w:rFonts w:ascii="Calibri" w:hAnsi="Calibri"/>
                <w:color w:val="333333"/>
                <w:sz w:val="20"/>
              </w:rPr>
              <w:t>Content Security Policy — HTTP header that restricts sources for scripts, styles, and other resources</w:t>
            </w:r>
          </w:p>
        </w:tc>
      </w:tr>
      <w:tr>
        <w:tc>
          <w:tcPr>
            <w:tcW w:type="dxa" w:w="1728"/>
          </w:tcPr>
          <w:p>
            <w:r/>
            <w:r>
              <w:rPr>
                <w:rFonts w:ascii="Calibri" w:hAnsi="Calibri"/>
                <w:color w:val="333333"/>
                <w:sz w:val="20"/>
              </w:rPr>
              <w:t>TLS</w:t>
            </w:r>
          </w:p>
        </w:tc>
        <w:tc>
          <w:tcPr>
            <w:tcW w:type="dxa" w:w="8064"/>
          </w:tcPr>
          <w:p>
            <w:r/>
            <w:r>
              <w:rPr>
                <w:rFonts w:ascii="Calibri" w:hAnsi="Calibri"/>
                <w:color w:val="333333"/>
                <w:sz w:val="20"/>
              </w:rPr>
              <w:t>Transport Layer Security — cryptographic protocol for secure communication over a network</w:t>
            </w:r>
          </w:p>
        </w:tc>
      </w:tr>
      <w:tr>
        <w:tc>
          <w:tcPr>
            <w:tcW w:type="dxa" w:w="1728"/>
            <w:shd w:fill="F5F5F5"/>
          </w:tcPr>
          <w:p>
            <w:r/>
            <w:r>
              <w:rPr>
                <w:rFonts w:ascii="Calibri" w:hAnsi="Calibri"/>
                <w:color w:val="333333"/>
                <w:sz w:val="20"/>
              </w:rPr>
              <w:t>CSRF</w:t>
            </w:r>
          </w:p>
        </w:tc>
        <w:tc>
          <w:tcPr>
            <w:tcW w:type="dxa" w:w="8064"/>
            <w:shd w:fill="F5F5F5"/>
          </w:tcPr>
          <w:p>
            <w:r/>
            <w:r>
              <w:rPr>
                <w:rFonts w:ascii="Calibri" w:hAnsi="Calibri"/>
                <w:color w:val="333333"/>
                <w:sz w:val="20"/>
              </w:rPr>
              <w:t>Cross-Site Request Forgery — attack that forces authenticated users to submit unintended requests</w:t>
            </w:r>
          </w:p>
        </w:tc>
      </w:tr>
      <w:tr>
        <w:tc>
          <w:tcPr>
            <w:tcW w:type="dxa" w:w="1728"/>
          </w:tcPr>
          <w:p>
            <w:r/>
            <w:r>
              <w:rPr>
                <w:rFonts w:ascii="Calibri" w:hAnsi="Calibri"/>
                <w:color w:val="333333"/>
                <w:sz w:val="20"/>
              </w:rPr>
              <w:t>CDN</w:t>
            </w:r>
          </w:p>
        </w:tc>
        <w:tc>
          <w:tcPr>
            <w:tcW w:type="dxa" w:w="8064"/>
          </w:tcPr>
          <w:p>
            <w:r/>
            <w:r>
              <w:rPr>
                <w:rFonts w:ascii="Calibri" w:hAnsi="Calibri"/>
                <w:color w:val="333333"/>
                <w:sz w:val="20"/>
              </w:rPr>
              <w:t>Content Delivery Network — distributed network of servers for delivering web content</w:t>
            </w:r>
          </w:p>
        </w:tc>
      </w:tr>
    </w:tbl>
    <w:p/>
    <w:p>
      <w:pPr>
        <w:pStyle w:val="Heading2"/>
      </w:pPr>
      <w:r>
        <w:t>Appendix E: Document Change Log</w:t>
      </w:r>
    </w:p>
    <w:p>
      <w:r>
        <w:rPr>
          <w:rFonts w:ascii="Calibri" w:hAnsi="Calibri"/>
          <w:color w:val="333333"/>
          <w:sz w:val="22"/>
        </w:rPr>
        <w:t>This appendix tracks substantive changes to the report structure, methodology, and content across document versions. Minor formatting changes are not listed.</w:t>
      </w:r>
    </w:p>
    <w:tbl>
      <w:tblPr>
        <w:tblStyle w:val="TableGrid"/>
        <w:tblW w:type="auto" w:w="0"/>
        <w:jc w:val="center"/>
        <w:tblLook w:firstColumn="1" w:firstRow="1" w:lastColumn="0" w:lastRow="0" w:noHBand="0" w:noVBand="1" w:val="04A0"/>
      </w:tblPr>
      <w:tblGrid>
        <w:gridCol w:w="3120"/>
        <w:gridCol w:w="3120"/>
        <w:gridCol w:w="3120"/>
      </w:tblGrid>
      <w:tr>
        <w:tc>
          <w:tcPr>
            <w:tcW w:type="dxa" w:w="864"/>
            <w:shd w:fill="1E3A5F"/>
          </w:tcPr>
          <w:p>
            <w:pPr>
              <w:jc w:val="left"/>
            </w:pPr>
            <w:r/>
            <w:r>
              <w:rPr>
                <w:rFonts w:ascii="Calibri" w:hAnsi="Calibri"/>
                <w:b/>
                <w:color w:val="FFFFFF"/>
                <w:sz w:val="20"/>
              </w:rPr>
              <w:t>Version</w:t>
            </w:r>
          </w:p>
        </w:tc>
        <w:tc>
          <w:tcPr>
            <w:tcW w:type="dxa" w:w="1440"/>
            <w:shd w:fill="1E3A5F"/>
          </w:tcPr>
          <w:p>
            <w:pPr>
              <w:jc w:val="left"/>
            </w:pPr>
            <w:r/>
            <w:r>
              <w:rPr>
                <w:rFonts w:ascii="Calibri" w:hAnsi="Calibri"/>
                <w:b/>
                <w:color w:val="FFFFFF"/>
                <w:sz w:val="20"/>
              </w:rPr>
              <w:t>Date</w:t>
            </w:r>
          </w:p>
        </w:tc>
        <w:tc>
          <w:tcPr>
            <w:tcW w:type="dxa" w:w="7488"/>
            <w:shd w:fill="1E3A5F"/>
          </w:tcPr>
          <w:p>
            <w:pPr>
              <w:jc w:val="left"/>
            </w:pPr>
            <w:r/>
            <w:r>
              <w:rPr>
                <w:rFonts w:ascii="Calibri" w:hAnsi="Calibri"/>
                <w:b/>
                <w:color w:val="FFFFFF"/>
                <w:sz w:val="20"/>
              </w:rPr>
              <w:t>Changes</w:t>
            </w:r>
          </w:p>
        </w:tc>
      </w:tr>
      <w:tr>
        <w:tc>
          <w:tcPr>
            <w:tcW w:type="dxa" w:w="864"/>
          </w:tcPr>
          <w:p>
            <w:r/>
            <w:r>
              <w:rPr>
                <w:rFonts w:ascii="Calibri" w:hAnsi="Calibri"/>
                <w:color w:val="333333"/>
                <w:sz w:val="20"/>
              </w:rPr>
              <w:t>1.0</w:t>
            </w:r>
          </w:p>
        </w:tc>
        <w:tc>
          <w:tcPr>
            <w:tcW w:type="dxa" w:w="1440"/>
          </w:tcPr>
          <w:p>
            <w:r/>
            <w:r>
              <w:rPr>
                <w:rFonts w:ascii="Calibri" w:hAnsi="Calibri"/>
                <w:color w:val="333333"/>
                <w:sz w:val="20"/>
              </w:rPr>
              <w:t>2026-03-01</w:t>
            </w:r>
          </w:p>
        </w:tc>
        <w:tc>
          <w:tcPr>
            <w:tcW w:type="dxa" w:w="7488"/>
          </w:tcPr>
          <w:p>
            <w:r/>
            <w:r>
              <w:rPr>
                <w:rFonts w:ascii="Calibri" w:hAnsi="Calibri"/>
                <w:color w:val="333333"/>
                <w:sz w:val="20"/>
              </w:rPr>
              <w:t>Initial report generated from consolidated SARIF pipeline. Single severity model (tool-reported only). Basic architecture description. OWASP Top 10 2021 mappings. Limited compliance mapping.</w:t>
            </w:r>
          </w:p>
        </w:tc>
      </w:tr>
      <w:tr>
        <w:tc>
          <w:tcPr>
            <w:tcW w:type="dxa" w:w="864"/>
            <w:shd w:fill="F5F5F5"/>
          </w:tcPr>
          <w:p>
            <w:r/>
            <w:r>
              <w:rPr>
                <w:rFonts w:ascii="Calibri" w:hAnsi="Calibri"/>
                <w:color w:val="333333"/>
                <w:sz w:val="20"/>
              </w:rPr>
              <w:t>1.1</w:t>
            </w:r>
          </w:p>
        </w:tc>
        <w:tc>
          <w:tcPr>
            <w:tcW w:type="dxa" w:w="1440"/>
            <w:shd w:fill="F5F5F5"/>
          </w:tcPr>
          <w:p>
            <w:r/>
            <w:r>
              <w:rPr>
                <w:rFonts w:ascii="Calibri" w:hAnsi="Calibri"/>
                <w:color w:val="333333"/>
                <w:sz w:val="20"/>
              </w:rPr>
              <w:t>2026-03-05</w:t>
            </w:r>
          </w:p>
        </w:tc>
        <w:tc>
          <w:tcPr>
            <w:tcW w:type="dxa" w:w="7488"/>
            <w:shd w:fill="F5F5F5"/>
          </w:tcPr>
          <w:p>
            <w:r/>
            <w:r>
              <w:rPr>
                <w:rFonts w:ascii="Calibri" w:hAnsi="Calibri"/>
                <w:color w:val="333333"/>
                <w:sz w:val="20"/>
              </w:rPr>
              <w:t>Dual severity model: assessed risk (primary) and tool severity (secondary). Vendor self-assessment disclaimer added. SAST claims tempered to acknowledge Semgrep OSS limitations. OWASP mappings updated to 2025 edition. Terminology updated (Microsoft Entra ID). Added Section 3.4 Token &amp; Session Management. Added Section 3.5 Data Protection. Expanded Limitations &amp; Coverage Gaps (Section 2.4). Added ASVS Gaps column (Section 8.1). Added Section 7.4 Recommended Additional Assessments. Reclassified HSTS from Low to Medium. Moved CSP from accepted risks to remediation.</w:t>
            </w:r>
          </w:p>
        </w:tc>
      </w:tr>
      <w:tr>
        <w:tc>
          <w:tcPr>
            <w:tcW w:type="dxa" w:w="864"/>
          </w:tcPr>
          <w:p>
            <w:r/>
            <w:r>
              <w:rPr>
                <w:rFonts w:ascii="Calibri" w:hAnsi="Calibri"/>
                <w:color w:val="333333"/>
                <w:sz w:val="20"/>
              </w:rPr>
              <w:t>1.2</w:t>
            </w:r>
          </w:p>
        </w:tc>
        <w:tc>
          <w:tcPr>
            <w:tcW w:type="dxa" w:w="1440"/>
          </w:tcPr>
          <w:p>
            <w:r/>
            <w:r>
              <w:rPr>
                <w:rFonts w:ascii="Calibri" w:hAnsi="Calibri"/>
                <w:color w:val="333333"/>
                <w:sz w:val="20"/>
              </w:rPr>
              <w:t>2026-03-06</w:t>
            </w:r>
          </w:p>
        </w:tc>
        <w:tc>
          <w:tcPr>
            <w:tcW w:type="dxa" w:w="7488"/>
          </w:tcPr>
          <w:p>
            <w:r/>
            <w:r>
              <w:rPr>
                <w:rFonts w:ascii="Calibri" w:hAnsi="Calibri"/>
                <w:color w:val="333333"/>
                <w:sz w:val="20"/>
              </w:rPr>
              <w:t>Structural improvements based on security professional review. Added Section 2.5 Architecture Review Scope (internal review disclaimer). Added Section 2.6 Threat Model (adversary profiles, impact analysis). Added Section 2.7 Data Classification (data categories and protection requirements). Section 3 cleaned to be purely descriptive—gap assertions moved to Section 7 remediation. Section 7.3 updated with issue tracker reference and token lifecycle remediation items. NIST SP 800-53 table expanded to 12 controls with Gaps column (Section 8.2). Added Appendix E (this change log). Executive summary references threat model.</w:t>
            </w:r>
          </w:p>
        </w:tc>
      </w:tr>
      <w:tr>
        <w:tc>
          <w:tcPr>
            <w:tcW w:type="dxa" w:w="864"/>
            <w:shd w:fill="F5F5F5"/>
          </w:tcPr>
          <w:p>
            <w:r/>
            <w:r>
              <w:rPr>
                <w:rFonts w:ascii="Calibri" w:hAnsi="Calibri"/>
                <w:color w:val="333333"/>
                <w:sz w:val="20"/>
              </w:rPr>
              <w:t>1.3</w:t>
            </w:r>
          </w:p>
        </w:tc>
        <w:tc>
          <w:tcPr>
            <w:tcW w:type="dxa" w:w="1440"/>
            <w:shd w:fill="F5F5F5"/>
          </w:tcPr>
          <w:p>
            <w:r/>
            <w:r>
              <w:rPr>
                <w:rFonts w:ascii="Calibri" w:hAnsi="Calibri"/>
                <w:color w:val="333333"/>
                <w:sz w:val="20"/>
              </w:rPr>
              <w:t>2026-03-09</w:t>
            </w:r>
          </w:p>
        </w:tc>
        <w:tc>
          <w:tcPr>
            <w:tcW w:type="dxa" w:w="7488"/>
            <w:shd w:fill="F5F5F5"/>
          </w:tcPr>
          <w:p>
            <w:r/>
            <w:r>
              <w:rPr>
                <w:rFonts w:ascii="Calibri" w:hAnsi="Calibri"/>
                <w:color w:val="333333"/>
                <w:sz w:val="20"/>
              </w:rPr>
              <w:t>Findings accuracy pass based on security professional review. CKV_AZURE_19, CKV_AZURE_84, and CKV_AZURE_87 now carry specific remediation text instead of generic boilerplate (Defender for SQL, Storage, and Key Vault are enabled in defender.bicep). ASVS gap entries updated: V1 notes threat model is developer-authored not independently validated, V7 reflects SQL auditing now enabled, V9 reflects HSTS now configured. Glossary expanded with ASVS, FOUO, NIST, MFA, SCA, CSP, TLS, CSRF, CDN.</w:t>
            </w:r>
          </w:p>
        </w:tc>
      </w:tr>
    </w:tbl>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666666"/>
        <w:sz w:val="16"/>
      </w:rPr>
      <w:t>Dynamis Inc.</w:t>
    </w:r>
    <w:r>
      <w:tab/>
      <w:tab/>
    </w:r>
    <w:r>
      <w:rPr>
        <w:color w:val="666666"/>
        <w:sz w:val="16"/>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olor w:val="666666"/>
        <w:sz w:val="16"/>
      </w:rPr>
      <w:t>Cadence — Security Assessment</w:t>
    </w:r>
    <w:r>
      <w:tab/>
      <w:tab/>
    </w:r>
    <w:r>
      <w:rPr>
        <w:rFonts w:ascii="Calibri" w:hAnsi="Calibri"/>
        <w:b/>
        <w:color w:val="D32F2F"/>
        <w:sz w:val="16"/>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E3A5F"/>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E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