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022DB6" wp14:paraId="2C078E63" wp14:textId="53C60134">
      <w:pPr>
        <w:spacing w:line="480" w:lineRule="auto"/>
        <w:jc w:val="center"/>
        <w:rPr>
          <w:rFonts w:ascii="Times New Roman" w:hAnsi="Times New Roman" w:eastAsia="Times New Roman" w:cs="Times New Roman"/>
          <w:b w:val="1"/>
          <w:bCs w:val="1"/>
        </w:rPr>
      </w:pPr>
      <w:r w:rsidRPr="0C022DB6" w:rsidR="547D4602">
        <w:rPr>
          <w:rFonts w:ascii="Times New Roman" w:hAnsi="Times New Roman" w:eastAsia="Times New Roman" w:cs="Times New Roman"/>
          <w:b w:val="1"/>
          <w:bCs w:val="1"/>
        </w:rPr>
        <w:t>Target Corporation (TGT)</w:t>
      </w:r>
    </w:p>
    <w:p w:rsidR="547D4602" w:rsidP="0C022DB6" w:rsidRDefault="547D4602" w14:paraId="6C54BD8F" w14:textId="6E5E3D55">
      <w:pPr>
        <w:spacing w:line="480" w:lineRule="auto"/>
        <w:jc w:val="center"/>
        <w:rPr>
          <w:rFonts w:ascii="Times New Roman" w:hAnsi="Times New Roman" w:eastAsia="Times New Roman" w:cs="Times New Roman"/>
          <w:b w:val="1"/>
          <w:bCs w:val="1"/>
        </w:rPr>
      </w:pPr>
      <w:r w:rsidRPr="0C022DB6" w:rsidR="547D4602">
        <w:rPr>
          <w:rFonts w:ascii="Times New Roman" w:hAnsi="Times New Roman" w:eastAsia="Times New Roman" w:cs="Times New Roman"/>
          <w:b w:val="1"/>
          <w:bCs w:val="1"/>
        </w:rPr>
        <w:t xml:space="preserve">Financial Analysis – Part 1: </w:t>
      </w:r>
      <w:r w:rsidRPr="0C022DB6" w:rsidR="547D4602">
        <w:rPr>
          <w:rFonts w:ascii="Times New Roman" w:hAnsi="Times New Roman" w:eastAsia="Times New Roman" w:cs="Times New Roman"/>
          <w:b w:val="1"/>
          <w:bCs w:val="1"/>
        </w:rPr>
        <w:t>Ratio</w:t>
      </w:r>
      <w:r w:rsidRPr="0C022DB6" w:rsidR="547D4602">
        <w:rPr>
          <w:rFonts w:ascii="Times New Roman" w:hAnsi="Times New Roman" w:eastAsia="Times New Roman" w:cs="Times New Roman"/>
          <w:b w:val="1"/>
          <w:bCs w:val="1"/>
        </w:rPr>
        <w:t xml:space="preserve"> Analysis</w:t>
      </w:r>
    </w:p>
    <w:p w:rsidR="547D4602" w:rsidP="0C022DB6" w:rsidRDefault="547D4602" w14:paraId="42DFF50A" w14:textId="376FF167">
      <w:pPr>
        <w:spacing w:line="480" w:lineRule="auto"/>
        <w:jc w:val="center"/>
        <w:rPr>
          <w:rFonts w:ascii="Times New Roman" w:hAnsi="Times New Roman" w:eastAsia="Times New Roman" w:cs="Times New Roman"/>
          <w:b w:val="0"/>
          <w:bCs w:val="0"/>
        </w:rPr>
      </w:pPr>
      <w:r w:rsidRPr="0C022DB6" w:rsidR="547D4602">
        <w:rPr>
          <w:rFonts w:ascii="Times New Roman" w:hAnsi="Times New Roman" w:eastAsia="Times New Roman" w:cs="Times New Roman"/>
          <w:b w:val="0"/>
          <w:bCs w:val="0"/>
        </w:rPr>
        <w:t>MBA 440</w:t>
      </w:r>
    </w:p>
    <w:p w:rsidR="547D4602" w:rsidP="0C022DB6" w:rsidRDefault="547D4602" w14:paraId="61B06822" w14:textId="0C1ABB3A">
      <w:pPr>
        <w:spacing w:line="480" w:lineRule="auto"/>
        <w:jc w:val="center"/>
        <w:rPr>
          <w:rFonts w:ascii="Times New Roman" w:hAnsi="Times New Roman" w:eastAsia="Times New Roman" w:cs="Times New Roman"/>
          <w:b w:val="0"/>
          <w:bCs w:val="0"/>
        </w:rPr>
      </w:pPr>
      <w:r w:rsidRPr="0C022DB6" w:rsidR="547D4602">
        <w:rPr>
          <w:rFonts w:ascii="Times New Roman" w:hAnsi="Times New Roman" w:eastAsia="Times New Roman" w:cs="Times New Roman"/>
          <w:b w:val="0"/>
          <w:bCs w:val="0"/>
        </w:rPr>
        <w:t>Group 6</w:t>
      </w:r>
    </w:p>
    <w:p w:rsidR="547D4602" w:rsidP="0C022DB6" w:rsidRDefault="547D4602" w14:paraId="5EB236B8" w14:textId="042C84A4">
      <w:pPr>
        <w:pStyle w:val="Normal"/>
        <w:spacing w:line="480" w:lineRule="auto"/>
        <w:jc w:val="center"/>
        <w:rPr>
          <w:rFonts w:ascii="Times New Roman" w:hAnsi="Times New Roman" w:eastAsia="Times New Roman" w:cs="Times New Roman"/>
          <w:b w:val="0"/>
          <w:bCs w:val="0"/>
          <w:noProof w:val="0"/>
          <w:sz w:val="24"/>
          <w:szCs w:val="24"/>
          <w:lang w:val="en-US"/>
        </w:rPr>
      </w:pPr>
      <w:r w:rsidRPr="0C022DB6" w:rsidR="547D4602">
        <w:rPr>
          <w:rFonts w:ascii="Times New Roman" w:hAnsi="Times New Roman" w:eastAsia="Times New Roman" w:cs="Times New Roman"/>
          <w:b w:val="0"/>
          <w:bCs w:val="0"/>
        </w:rPr>
        <w:t xml:space="preserve">Group Members: Justin Idle, </w:t>
      </w:r>
      <w:r w:rsidRPr="0C022DB6" w:rsidR="547D46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Debbie Ampong, Maleigha Gould</w:t>
      </w:r>
    </w:p>
    <w:p w:rsidR="547D4602" w:rsidP="0C022DB6" w:rsidRDefault="547D4602" w14:paraId="7F5BBA66" w14:textId="26C0F470">
      <w:pPr>
        <w:spacing w:line="480" w:lineRule="auto"/>
        <w:jc w:val="center"/>
        <w:rPr>
          <w:rFonts w:ascii="Times New Roman" w:hAnsi="Times New Roman" w:eastAsia="Times New Roman" w:cs="Times New Roman"/>
          <w:b w:val="0"/>
          <w:bCs w:val="0"/>
        </w:rPr>
      </w:pPr>
      <w:r w:rsidRPr="0C022DB6" w:rsidR="547D4602">
        <w:rPr>
          <w:rFonts w:ascii="Times New Roman" w:hAnsi="Times New Roman" w:eastAsia="Times New Roman" w:cs="Times New Roman"/>
          <w:b w:val="0"/>
          <w:bCs w:val="0"/>
        </w:rPr>
        <w:t>Fall 2026</w:t>
      </w:r>
    </w:p>
    <w:p w:rsidR="547D4602" w:rsidP="0C022DB6" w:rsidRDefault="547D4602" w14:paraId="224C0D14" w14:textId="0DAD2CF9">
      <w:pPr>
        <w:pStyle w:val="ListParagraph"/>
        <w:numPr>
          <w:ilvl w:val="0"/>
          <w:numId w:val="1"/>
        </w:numPr>
        <w:spacing w:line="480" w:lineRule="auto"/>
        <w:jc w:val="left"/>
        <w:rPr>
          <w:rFonts w:ascii="Times New Roman" w:hAnsi="Times New Roman" w:eastAsia="Times New Roman" w:cs="Times New Roman"/>
          <w:b w:val="1"/>
          <w:bCs w:val="1"/>
        </w:rPr>
      </w:pPr>
      <w:r w:rsidRPr="4EF34917" w:rsidR="27FD974A">
        <w:rPr>
          <w:rFonts w:ascii="Times New Roman" w:hAnsi="Times New Roman" w:eastAsia="Times New Roman" w:cs="Times New Roman"/>
          <w:b w:val="1"/>
          <w:bCs w:val="1"/>
        </w:rPr>
        <w:t>General Overview</w:t>
      </w:r>
    </w:p>
    <w:p w:rsidR="59E11B02" w:rsidP="4EF34917" w:rsidRDefault="59E11B02" w14:paraId="6276DDFE" w14:textId="26B51624">
      <w:pPr>
        <w:pStyle w:val="Normal"/>
        <w:spacing w:line="480" w:lineRule="auto"/>
        <w:ind w:left="0"/>
        <w:jc w:val="left"/>
      </w:pPr>
      <w:r w:rsidRPr="4EF34917" w:rsidR="59E11B02">
        <w:rPr>
          <w:rFonts w:ascii="Times New Roman" w:hAnsi="Times New Roman" w:eastAsia="Times New Roman" w:cs="Times New Roman"/>
          <w:b w:val="0"/>
          <w:bCs w:val="0"/>
        </w:rPr>
        <w:t>Target Corporation is aa general merchandise retailer that sells products through its stores and digital channels. Our gr</w:t>
      </w:r>
      <w:r w:rsidRPr="4EF34917" w:rsidR="4A5A47C4">
        <w:rPr>
          <w:rFonts w:ascii="Times New Roman" w:hAnsi="Times New Roman" w:eastAsia="Times New Roman" w:cs="Times New Roman"/>
          <w:b w:val="0"/>
          <w:bCs w:val="0"/>
        </w:rPr>
        <w:t>oup examines Target’s financial performance from fiscal 2020 through 2024 using its income statement and balance sheet data. The report looks at liquidity, efficiency</w:t>
      </w:r>
      <w:r w:rsidRPr="4EF34917" w:rsidR="19326B66">
        <w:rPr>
          <w:rFonts w:ascii="Times New Roman" w:hAnsi="Times New Roman" w:eastAsia="Times New Roman" w:cs="Times New Roman"/>
          <w:b w:val="0"/>
          <w:bCs w:val="0"/>
        </w:rPr>
        <w:t xml:space="preserve">, debt, profitability, DuPont, and market ratios to understand </w:t>
      </w:r>
      <w:r w:rsidRPr="4EF34917" w:rsidR="19326B66">
        <w:rPr>
          <w:rFonts w:ascii="Times New Roman" w:hAnsi="Times New Roman" w:eastAsia="Times New Roman" w:cs="Times New Roman"/>
          <w:b w:val="0"/>
          <w:bCs w:val="0"/>
        </w:rPr>
        <w:t>different parts</w:t>
      </w:r>
      <w:r w:rsidRPr="4EF34917" w:rsidR="19326B66">
        <w:rPr>
          <w:rFonts w:ascii="Times New Roman" w:hAnsi="Times New Roman" w:eastAsia="Times New Roman" w:cs="Times New Roman"/>
          <w:b w:val="0"/>
          <w:bCs w:val="0"/>
        </w:rPr>
        <w:t xml:space="preserve"> of the company’s performance. </w:t>
      </w:r>
    </w:p>
    <w:p w:rsidR="19326B66" w:rsidP="4EF34917" w:rsidRDefault="19326B66" w14:paraId="7AF9D753" w14:textId="1B2BD0E6">
      <w:pPr>
        <w:pStyle w:val="Normal"/>
        <w:spacing w:line="480" w:lineRule="auto"/>
        <w:ind w:left="0"/>
        <w:jc w:val="left"/>
        <w:rPr>
          <w:rFonts w:ascii="Times New Roman" w:hAnsi="Times New Roman" w:eastAsia="Times New Roman" w:cs="Times New Roman"/>
          <w:b w:val="0"/>
          <w:bCs w:val="0"/>
        </w:rPr>
      </w:pPr>
      <w:r w:rsidRPr="4EF34917" w:rsidR="19F0BC32">
        <w:rPr>
          <w:rFonts w:ascii="Times New Roman" w:hAnsi="Times New Roman" w:eastAsia="Times New Roman" w:cs="Times New Roman"/>
          <w:b w:val="0"/>
          <w:bCs w:val="0"/>
        </w:rPr>
        <w:t xml:space="preserve">Target’s sales increased from </w:t>
      </w:r>
      <w:r w:rsidRPr="4EF34917" w:rsidR="19F0BC32">
        <w:rPr>
          <w:rFonts w:ascii="Times New Roman" w:hAnsi="Times New Roman" w:eastAsia="Times New Roman" w:cs="Times New Roman"/>
          <w:b w:val="0"/>
          <w:bCs w:val="0"/>
        </w:rPr>
        <w:t>$92,400 million</w:t>
      </w:r>
      <w:r w:rsidRPr="4EF34917" w:rsidR="19F0BC32">
        <w:rPr>
          <w:rFonts w:ascii="Times New Roman" w:hAnsi="Times New Roman" w:eastAsia="Times New Roman" w:cs="Times New Roman"/>
          <w:b w:val="0"/>
          <w:bCs w:val="0"/>
        </w:rPr>
        <w:t xml:space="preserve"> in 2020 to $107,588 million in 2024. Earnings did not follow the same pattern. Op</w:t>
      </w:r>
      <w:r w:rsidRPr="4EF34917" w:rsidR="1B40D55B">
        <w:rPr>
          <w:rFonts w:ascii="Times New Roman" w:hAnsi="Times New Roman" w:eastAsia="Times New Roman" w:cs="Times New Roman"/>
          <w:b w:val="0"/>
          <w:bCs w:val="0"/>
        </w:rPr>
        <w:t>erating income fell from $8,846 million in 2021 to $3,848 million in 2022, then partly recovered to $5,566 million in 2024</w:t>
      </w:r>
      <w:r w:rsidRPr="4EF34917" w:rsidR="751CFF4C">
        <w:rPr>
          <w:rFonts w:ascii="Times New Roman" w:hAnsi="Times New Roman" w:eastAsia="Times New Roman" w:cs="Times New Roman"/>
          <w:b w:val="0"/>
          <w:bCs w:val="0"/>
        </w:rPr>
        <w:t xml:space="preserve">. Net </w:t>
      </w:r>
      <w:r w:rsidRPr="4EF34917" w:rsidR="26464D96">
        <w:rPr>
          <w:rFonts w:ascii="Times New Roman" w:hAnsi="Times New Roman" w:eastAsia="Times New Roman" w:cs="Times New Roman"/>
          <w:b w:val="0"/>
          <w:bCs w:val="0"/>
        </w:rPr>
        <w:t>earnings</w:t>
      </w:r>
      <w:r w:rsidRPr="4EF34917" w:rsidR="751CFF4C">
        <w:rPr>
          <w:rFonts w:ascii="Times New Roman" w:hAnsi="Times New Roman" w:eastAsia="Times New Roman" w:cs="Times New Roman"/>
          <w:b w:val="0"/>
          <w:bCs w:val="0"/>
        </w:rPr>
        <w:t xml:space="preserve"> also fell in 2022 before rising to </w:t>
      </w:r>
      <w:r w:rsidRPr="4EF34917" w:rsidR="751CFF4C">
        <w:rPr>
          <w:rFonts w:ascii="Times New Roman" w:hAnsi="Times New Roman" w:eastAsia="Times New Roman" w:cs="Times New Roman"/>
          <w:b w:val="0"/>
          <w:bCs w:val="0"/>
        </w:rPr>
        <w:t>$4,091 million</w:t>
      </w:r>
      <w:r w:rsidRPr="4EF34917" w:rsidR="751CFF4C">
        <w:rPr>
          <w:rFonts w:ascii="Times New Roman" w:hAnsi="Times New Roman" w:eastAsia="Times New Roman" w:cs="Times New Roman"/>
          <w:b w:val="0"/>
          <w:bCs w:val="0"/>
        </w:rPr>
        <w:t xml:space="preserve"> in 2024. At the same </w:t>
      </w:r>
      <w:r w:rsidRPr="4EF34917" w:rsidR="38696B61">
        <w:rPr>
          <w:rFonts w:ascii="Times New Roman" w:hAnsi="Times New Roman" w:eastAsia="Times New Roman" w:cs="Times New Roman"/>
          <w:b w:val="0"/>
          <w:bCs w:val="0"/>
        </w:rPr>
        <w:t xml:space="preserve">time, total assets grew from </w:t>
      </w:r>
      <w:r w:rsidRPr="4EF34917" w:rsidR="38696B61">
        <w:rPr>
          <w:rFonts w:ascii="Times New Roman" w:hAnsi="Times New Roman" w:eastAsia="Times New Roman" w:cs="Times New Roman"/>
          <w:b w:val="0"/>
          <w:bCs w:val="0"/>
        </w:rPr>
        <w:t>$51,248 million</w:t>
      </w:r>
      <w:r w:rsidRPr="4EF34917" w:rsidR="38696B61">
        <w:rPr>
          <w:rFonts w:ascii="Times New Roman" w:hAnsi="Times New Roman" w:eastAsia="Times New Roman" w:cs="Times New Roman"/>
          <w:b w:val="0"/>
          <w:bCs w:val="0"/>
        </w:rPr>
        <w:t xml:space="preserve"> in 2020 to </w:t>
      </w:r>
      <w:r w:rsidRPr="4EF34917" w:rsidR="38696B61">
        <w:rPr>
          <w:rFonts w:ascii="Times New Roman" w:hAnsi="Times New Roman" w:eastAsia="Times New Roman" w:cs="Times New Roman"/>
          <w:b w:val="0"/>
          <w:bCs w:val="0"/>
        </w:rPr>
        <w:t>$57,769 million</w:t>
      </w:r>
      <w:r w:rsidRPr="4EF34917" w:rsidR="38696B61">
        <w:rPr>
          <w:rFonts w:ascii="Times New Roman" w:hAnsi="Times New Roman" w:eastAsia="Times New Roman" w:cs="Times New Roman"/>
          <w:b w:val="0"/>
          <w:bCs w:val="0"/>
        </w:rPr>
        <w:t xml:space="preserve"> in 2024. Even wi</w:t>
      </w:r>
      <w:r w:rsidRPr="4EF34917" w:rsidR="4DC37DAC">
        <w:rPr>
          <w:rFonts w:ascii="Times New Roman" w:hAnsi="Times New Roman" w:eastAsia="Times New Roman" w:cs="Times New Roman"/>
          <w:b w:val="0"/>
          <w:bCs w:val="0"/>
        </w:rPr>
        <w:t xml:space="preserve">th that larger asset base, Target’s 2024 net earnings remained below the </w:t>
      </w:r>
      <w:r w:rsidRPr="4EF34917" w:rsidR="4DC37DAC">
        <w:rPr>
          <w:rFonts w:ascii="Times New Roman" w:hAnsi="Times New Roman" w:eastAsia="Times New Roman" w:cs="Times New Roman"/>
          <w:b w:val="0"/>
          <w:bCs w:val="0"/>
        </w:rPr>
        <w:t>$4,368 million</w:t>
      </w:r>
      <w:r w:rsidRPr="4EF34917" w:rsidR="4DC37DAC">
        <w:rPr>
          <w:rFonts w:ascii="Times New Roman" w:hAnsi="Times New Roman" w:eastAsia="Times New Roman" w:cs="Times New Roman"/>
          <w:b w:val="0"/>
          <w:bCs w:val="0"/>
        </w:rPr>
        <w:t xml:space="preserve"> it reported in 2020. </w:t>
      </w:r>
    </w:p>
    <w:p w:rsidR="547D4602" w:rsidP="0C022DB6" w:rsidRDefault="547D4602" w14:paraId="18D57EC6" w14:textId="7F9E16CD">
      <w:pPr>
        <w:pStyle w:val="ListParagraph"/>
        <w:numPr>
          <w:ilvl w:val="0"/>
          <w:numId w:val="1"/>
        </w:numPr>
        <w:spacing w:line="480" w:lineRule="auto"/>
        <w:jc w:val="left"/>
        <w:rPr>
          <w:rFonts w:ascii="Times New Roman" w:hAnsi="Times New Roman" w:eastAsia="Times New Roman" w:cs="Times New Roman"/>
          <w:b w:val="1"/>
          <w:bCs w:val="1"/>
        </w:rPr>
      </w:pPr>
      <w:r w:rsidRPr="0C022DB6" w:rsidR="547D4602">
        <w:rPr>
          <w:rFonts w:ascii="Times New Roman" w:hAnsi="Times New Roman" w:eastAsia="Times New Roman" w:cs="Times New Roman"/>
          <w:b w:val="1"/>
          <w:bCs w:val="1"/>
        </w:rPr>
        <w:t>Liquidity Analysis</w:t>
      </w:r>
    </w:p>
    <w:tbl>
      <w:tblPr>
        <w:tblStyle w:val="TableNormal"/>
        <w:bidiVisual w:val="0"/>
        <w:tblW w:w="0" w:type="auto"/>
        <w:tblLook w:val="06A0" w:firstRow="1" w:lastRow="0" w:firstColumn="1" w:lastColumn="0" w:noHBand="1" w:noVBand="1"/>
      </w:tblPr>
      <w:tblGrid>
        <w:gridCol w:w="2315"/>
        <w:gridCol w:w="1225"/>
        <w:gridCol w:w="1225"/>
        <w:gridCol w:w="1225"/>
        <w:gridCol w:w="1225"/>
        <w:gridCol w:w="1226"/>
      </w:tblGrid>
      <w:tr w:rsidR="0C022DB6" w:rsidTr="0C022DB6" w14:paraId="78FA85A7">
        <w:trPr>
          <w:trHeight w:val="375"/>
        </w:trPr>
        <w:tc>
          <w:tcPr>
            <w:tcW w:w="2315" w:type="dxa"/>
            <w:tcBorders>
              <w:top w:val="nil"/>
              <w:left w:val="nil"/>
              <w:bottom w:val="nil"/>
              <w:right w:val="nil"/>
            </w:tcBorders>
            <w:tcMar>
              <w:top w:w="15" w:type="dxa"/>
              <w:left w:w="15" w:type="dxa"/>
              <w:right w:w="15" w:type="dxa"/>
            </w:tcMar>
            <w:vAlign w:val="bottom"/>
          </w:tcPr>
          <w:p w:rsidR="0C022DB6" w:rsidP="0C022DB6" w:rsidRDefault="0C022DB6" w14:paraId="3A0E7A19" w14:textId="0F51BDAC">
            <w:pPr>
              <w:spacing w:before="0" w:beforeAutospacing="off" w:after="0" w:afterAutospacing="off"/>
              <w:rPr>
                <w:rFonts w:ascii="Times New Roman" w:hAnsi="Times New Roman" w:eastAsia="Times New Roman" w:cs="Times New Roman"/>
                <w:b w:val="1"/>
                <w:bCs w:val="1"/>
                <w:i w:val="0"/>
                <w:iCs w:val="0"/>
                <w:strike w:val="0"/>
                <w:dstrike w:val="0"/>
                <w:color w:val="000000" w:themeColor="text1" w:themeTint="FF" w:themeShade="FF"/>
                <w:sz w:val="28"/>
                <w:szCs w:val="28"/>
                <w:u w:val="none"/>
              </w:rPr>
            </w:pPr>
            <w:r w:rsidRPr="0C022DB6" w:rsidR="0C022DB6">
              <w:rPr>
                <w:rFonts w:ascii="Times New Roman" w:hAnsi="Times New Roman" w:eastAsia="Times New Roman" w:cs="Times New Roman"/>
                <w:b w:val="1"/>
                <w:bCs w:val="1"/>
                <w:i w:val="0"/>
                <w:iCs w:val="0"/>
                <w:strike w:val="0"/>
                <w:dstrike w:val="0"/>
                <w:color w:val="000000" w:themeColor="text1" w:themeTint="FF" w:themeShade="FF"/>
                <w:sz w:val="28"/>
                <w:szCs w:val="28"/>
                <w:u w:val="none"/>
              </w:rPr>
              <w:t>Liquidity Ratios</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34723A68" w14:textId="59313CDB">
            <w:pPr>
              <w:spacing w:before="0" w:beforeAutospacing="off" w:after="0" w:afterAutospacing="off"/>
              <w:jc w:val="right"/>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1"/>
                <w:bCs w:val="1"/>
                <w:i w:val="0"/>
                <w:iCs w:val="0"/>
                <w:strike w:val="0"/>
                <w:dstrike w:val="0"/>
                <w:color w:val="000000" w:themeColor="text1" w:themeTint="FF" w:themeShade="FF"/>
                <w:sz w:val="24"/>
                <w:szCs w:val="24"/>
                <w:u w:val="none"/>
              </w:rPr>
              <w:t>2020</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5A81CD54" w14:textId="0F519707">
            <w:pPr>
              <w:spacing w:before="0" w:beforeAutospacing="off" w:after="0" w:afterAutospacing="off"/>
              <w:jc w:val="right"/>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1"/>
                <w:bCs w:val="1"/>
                <w:i w:val="0"/>
                <w:iCs w:val="0"/>
                <w:strike w:val="0"/>
                <w:dstrike w:val="0"/>
                <w:color w:val="000000" w:themeColor="text1" w:themeTint="FF" w:themeShade="FF"/>
                <w:sz w:val="24"/>
                <w:szCs w:val="24"/>
                <w:u w:val="none"/>
              </w:rPr>
              <w:t>2021</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6123FDAD" w14:textId="0AA74FAF">
            <w:pPr>
              <w:spacing w:before="0" w:beforeAutospacing="off" w:after="0" w:afterAutospacing="off"/>
              <w:jc w:val="right"/>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1"/>
                <w:bCs w:val="1"/>
                <w:i w:val="0"/>
                <w:iCs w:val="0"/>
                <w:strike w:val="0"/>
                <w:dstrike w:val="0"/>
                <w:color w:val="000000" w:themeColor="text1" w:themeTint="FF" w:themeShade="FF"/>
                <w:sz w:val="24"/>
                <w:szCs w:val="24"/>
                <w:u w:val="none"/>
              </w:rPr>
              <w:t>2022</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40DF7983" w14:textId="45B8E038">
            <w:pPr>
              <w:spacing w:before="0" w:beforeAutospacing="off" w:after="0" w:afterAutospacing="off"/>
              <w:jc w:val="right"/>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1"/>
                <w:bCs w:val="1"/>
                <w:i w:val="0"/>
                <w:iCs w:val="0"/>
                <w:strike w:val="0"/>
                <w:dstrike w:val="0"/>
                <w:color w:val="000000" w:themeColor="text1" w:themeTint="FF" w:themeShade="FF"/>
                <w:sz w:val="24"/>
                <w:szCs w:val="24"/>
                <w:u w:val="none"/>
              </w:rPr>
              <w:t>2023</w:t>
            </w:r>
          </w:p>
        </w:tc>
        <w:tc>
          <w:tcPr>
            <w:tcW w:w="1226" w:type="dxa"/>
            <w:tcBorders>
              <w:top w:val="nil"/>
              <w:left w:val="nil"/>
              <w:bottom w:val="nil"/>
              <w:right w:val="nil"/>
            </w:tcBorders>
            <w:tcMar>
              <w:top w:w="15" w:type="dxa"/>
              <w:left w:w="15" w:type="dxa"/>
              <w:right w:w="15" w:type="dxa"/>
            </w:tcMar>
            <w:vAlign w:val="bottom"/>
          </w:tcPr>
          <w:p w:rsidR="0C022DB6" w:rsidP="0C022DB6" w:rsidRDefault="0C022DB6" w14:paraId="48192688" w14:textId="1D733531">
            <w:pPr>
              <w:spacing w:before="0" w:beforeAutospacing="off" w:after="0" w:afterAutospacing="off"/>
              <w:jc w:val="right"/>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1"/>
                <w:bCs w:val="1"/>
                <w:i w:val="0"/>
                <w:iCs w:val="0"/>
                <w:strike w:val="0"/>
                <w:dstrike w:val="0"/>
                <w:color w:val="000000" w:themeColor="text1" w:themeTint="FF" w:themeShade="FF"/>
                <w:sz w:val="24"/>
                <w:szCs w:val="24"/>
                <w:u w:val="none"/>
              </w:rPr>
              <w:t>2024</w:t>
            </w:r>
          </w:p>
        </w:tc>
      </w:tr>
      <w:tr w:rsidR="0C022DB6" w:rsidTr="0C022DB6" w14:paraId="054D25AE">
        <w:trPr>
          <w:trHeight w:val="315"/>
        </w:trPr>
        <w:tc>
          <w:tcPr>
            <w:tcW w:w="2315" w:type="dxa"/>
            <w:tcBorders>
              <w:top w:val="nil"/>
              <w:left w:val="nil"/>
              <w:bottom w:val="nil"/>
              <w:right w:val="nil"/>
            </w:tcBorders>
            <w:tcMar>
              <w:top w:w="15" w:type="dxa"/>
              <w:left w:w="15" w:type="dxa"/>
              <w:right w:w="15" w:type="dxa"/>
            </w:tcMar>
            <w:vAlign w:val="bottom"/>
          </w:tcPr>
          <w:p w:rsidR="0C022DB6" w:rsidRDefault="0C022DB6" w14:paraId="3EF30E62" w14:textId="1EB819DF">
            <w:pPr>
              <w:rPr>
                <w:b w:val="0"/>
                <w:bCs w:val="0"/>
              </w:rPr>
            </w:pPr>
          </w:p>
        </w:tc>
        <w:tc>
          <w:tcPr>
            <w:tcW w:w="1225" w:type="dxa"/>
            <w:tcBorders>
              <w:top w:val="nil"/>
              <w:left w:val="nil"/>
              <w:bottom w:val="nil"/>
              <w:right w:val="nil"/>
            </w:tcBorders>
            <w:tcMar>
              <w:top w:w="15" w:type="dxa"/>
              <w:left w:w="15" w:type="dxa"/>
              <w:right w:w="15" w:type="dxa"/>
            </w:tcMar>
            <w:vAlign w:val="bottom"/>
          </w:tcPr>
          <w:p w:rsidR="0C022DB6" w:rsidRDefault="0C022DB6" w14:paraId="7D539239" w14:textId="1D4F4E8B">
            <w:pPr>
              <w:rPr>
                <w:b w:val="0"/>
                <w:bCs w:val="0"/>
              </w:rPr>
            </w:pPr>
          </w:p>
        </w:tc>
        <w:tc>
          <w:tcPr>
            <w:tcW w:w="1225" w:type="dxa"/>
            <w:tcBorders>
              <w:top w:val="nil"/>
              <w:left w:val="nil"/>
              <w:bottom w:val="nil"/>
              <w:right w:val="nil"/>
            </w:tcBorders>
            <w:tcMar>
              <w:top w:w="15" w:type="dxa"/>
              <w:left w:w="15" w:type="dxa"/>
              <w:right w:w="15" w:type="dxa"/>
            </w:tcMar>
            <w:vAlign w:val="bottom"/>
          </w:tcPr>
          <w:p w:rsidR="0C022DB6" w:rsidRDefault="0C022DB6" w14:paraId="669C48A9" w14:textId="72131517">
            <w:pPr>
              <w:rPr>
                <w:b w:val="0"/>
                <w:bCs w:val="0"/>
              </w:rPr>
            </w:pPr>
          </w:p>
        </w:tc>
        <w:tc>
          <w:tcPr>
            <w:tcW w:w="1225" w:type="dxa"/>
            <w:tcBorders>
              <w:top w:val="nil"/>
              <w:left w:val="nil"/>
              <w:bottom w:val="nil"/>
              <w:right w:val="nil"/>
            </w:tcBorders>
            <w:tcMar>
              <w:top w:w="15" w:type="dxa"/>
              <w:left w:w="15" w:type="dxa"/>
              <w:right w:w="15" w:type="dxa"/>
            </w:tcMar>
            <w:vAlign w:val="bottom"/>
          </w:tcPr>
          <w:p w:rsidR="0C022DB6" w:rsidRDefault="0C022DB6" w14:paraId="6F8DD8E9" w14:textId="1EAA894B">
            <w:pPr>
              <w:rPr>
                <w:b w:val="0"/>
                <w:bCs w:val="0"/>
              </w:rPr>
            </w:pPr>
          </w:p>
        </w:tc>
        <w:tc>
          <w:tcPr>
            <w:tcW w:w="1225" w:type="dxa"/>
            <w:tcBorders>
              <w:top w:val="nil"/>
              <w:left w:val="nil"/>
              <w:bottom w:val="nil"/>
              <w:right w:val="nil"/>
            </w:tcBorders>
            <w:tcMar>
              <w:top w:w="15" w:type="dxa"/>
              <w:left w:w="15" w:type="dxa"/>
              <w:right w:w="15" w:type="dxa"/>
            </w:tcMar>
            <w:vAlign w:val="bottom"/>
          </w:tcPr>
          <w:p w:rsidR="0C022DB6" w:rsidRDefault="0C022DB6" w14:paraId="0049821C" w14:textId="5D5F18A4">
            <w:pPr>
              <w:rPr>
                <w:b w:val="0"/>
                <w:bCs w:val="0"/>
              </w:rPr>
            </w:pPr>
          </w:p>
        </w:tc>
        <w:tc>
          <w:tcPr>
            <w:tcW w:w="1226" w:type="dxa"/>
            <w:tcBorders>
              <w:top w:val="nil"/>
              <w:left w:val="nil"/>
              <w:bottom w:val="nil"/>
              <w:right w:val="nil"/>
            </w:tcBorders>
            <w:tcMar>
              <w:top w:w="15" w:type="dxa"/>
              <w:left w:w="15" w:type="dxa"/>
              <w:right w:w="15" w:type="dxa"/>
            </w:tcMar>
            <w:vAlign w:val="bottom"/>
          </w:tcPr>
          <w:p w:rsidR="0C022DB6" w:rsidRDefault="0C022DB6" w14:paraId="438769AE" w14:textId="4BDADF29">
            <w:pPr>
              <w:rPr>
                <w:b w:val="0"/>
                <w:bCs w:val="0"/>
              </w:rPr>
            </w:pPr>
          </w:p>
        </w:tc>
      </w:tr>
      <w:tr w:rsidR="0C022DB6" w:rsidTr="0C022DB6" w14:paraId="488EBE07">
        <w:trPr>
          <w:trHeight w:val="315"/>
        </w:trPr>
        <w:tc>
          <w:tcPr>
            <w:tcW w:w="2315" w:type="dxa"/>
            <w:tcBorders>
              <w:top w:val="nil"/>
              <w:left w:val="nil"/>
              <w:bottom w:val="nil"/>
              <w:right w:val="nil"/>
            </w:tcBorders>
            <w:tcMar>
              <w:top w:w="15" w:type="dxa"/>
              <w:left w:w="15" w:type="dxa"/>
              <w:right w:w="15" w:type="dxa"/>
            </w:tcMar>
            <w:vAlign w:val="bottom"/>
          </w:tcPr>
          <w:p w:rsidR="0C022DB6" w:rsidP="0C022DB6" w:rsidRDefault="0C022DB6" w14:paraId="09441472" w14:textId="62DCF3A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Current Ratio</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0109D3A2" w14:textId="3147420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1.03</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49FFC235" w14:textId="5922C2E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0.99</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299B32FD" w14:textId="1AA9FBC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0.92</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0668ED58" w14:textId="5B20B4F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0.91</w:t>
            </w:r>
          </w:p>
        </w:tc>
        <w:tc>
          <w:tcPr>
            <w:tcW w:w="1226" w:type="dxa"/>
            <w:tcBorders>
              <w:top w:val="nil"/>
              <w:left w:val="nil"/>
              <w:bottom w:val="nil"/>
              <w:right w:val="nil"/>
            </w:tcBorders>
            <w:tcMar>
              <w:top w:w="15" w:type="dxa"/>
              <w:left w:w="15" w:type="dxa"/>
              <w:right w:w="15" w:type="dxa"/>
            </w:tcMar>
            <w:vAlign w:val="bottom"/>
          </w:tcPr>
          <w:p w:rsidR="0C022DB6" w:rsidP="0C022DB6" w:rsidRDefault="0C022DB6" w14:paraId="0FC5A6EB" w14:textId="0237C94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0.94</w:t>
            </w:r>
          </w:p>
        </w:tc>
      </w:tr>
      <w:tr w:rsidR="0C022DB6" w:rsidTr="0C022DB6" w14:paraId="79F6758F">
        <w:trPr>
          <w:trHeight w:val="315"/>
        </w:trPr>
        <w:tc>
          <w:tcPr>
            <w:tcW w:w="2315" w:type="dxa"/>
            <w:tcBorders>
              <w:top w:val="nil"/>
              <w:left w:val="nil"/>
              <w:bottom w:val="nil"/>
              <w:right w:val="nil"/>
            </w:tcBorders>
            <w:tcMar>
              <w:top w:w="15" w:type="dxa"/>
              <w:left w:w="15" w:type="dxa"/>
              <w:right w:w="15" w:type="dxa"/>
            </w:tcMar>
            <w:vAlign w:val="bottom"/>
          </w:tcPr>
          <w:p w:rsidR="0C022DB6" w:rsidP="0C022DB6" w:rsidRDefault="0C022DB6" w14:paraId="66CBB88E" w14:textId="21ECAC9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Acid Test Ratio</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428BBB04" w14:textId="2E61BC2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0.50</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6E6C20DE" w14:textId="73A7784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0.35</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4585930A" w14:textId="6194F16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0.22</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5739A238" w14:textId="7F2FD96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0.29</w:t>
            </w:r>
          </w:p>
        </w:tc>
        <w:tc>
          <w:tcPr>
            <w:tcW w:w="1226" w:type="dxa"/>
            <w:tcBorders>
              <w:top w:val="nil"/>
              <w:left w:val="nil"/>
              <w:bottom w:val="nil"/>
              <w:right w:val="nil"/>
            </w:tcBorders>
            <w:tcMar>
              <w:top w:w="15" w:type="dxa"/>
              <w:left w:w="15" w:type="dxa"/>
              <w:right w:w="15" w:type="dxa"/>
            </w:tcMar>
            <w:vAlign w:val="bottom"/>
          </w:tcPr>
          <w:p w:rsidR="0C022DB6" w:rsidP="0C022DB6" w:rsidRDefault="0C022DB6" w14:paraId="213002F4" w14:textId="577909A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0.32</w:t>
            </w:r>
          </w:p>
        </w:tc>
      </w:tr>
      <w:tr w:rsidR="0C022DB6" w:rsidTr="0C022DB6" w14:paraId="31E09E0C">
        <w:trPr>
          <w:trHeight w:val="315"/>
        </w:trPr>
        <w:tc>
          <w:tcPr>
            <w:tcW w:w="2315" w:type="dxa"/>
            <w:tcBorders>
              <w:top w:val="nil"/>
              <w:left w:val="nil"/>
              <w:bottom w:val="nil"/>
              <w:right w:val="nil"/>
            </w:tcBorders>
            <w:tcMar>
              <w:top w:w="15" w:type="dxa"/>
              <w:left w:w="15" w:type="dxa"/>
              <w:right w:w="15" w:type="dxa"/>
            </w:tcMar>
            <w:vAlign w:val="bottom"/>
          </w:tcPr>
          <w:p w:rsidR="0C022DB6" w:rsidP="0C022DB6" w:rsidRDefault="0C022DB6" w14:paraId="28349491" w14:textId="65664F0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Cash Ratio</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6E3B517B" w14:textId="71B2AB89">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0.42</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2C593EED" w14:textId="070F71A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0.27</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42DA0832" w14:textId="53C00F1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0.11</w:t>
            </w:r>
          </w:p>
        </w:tc>
        <w:tc>
          <w:tcPr>
            <w:tcW w:w="1225" w:type="dxa"/>
            <w:tcBorders>
              <w:top w:val="nil"/>
              <w:left w:val="nil"/>
              <w:bottom w:val="nil"/>
              <w:right w:val="nil"/>
            </w:tcBorders>
            <w:tcMar>
              <w:top w:w="15" w:type="dxa"/>
              <w:left w:w="15" w:type="dxa"/>
              <w:right w:w="15" w:type="dxa"/>
            </w:tcMar>
            <w:vAlign w:val="bottom"/>
          </w:tcPr>
          <w:p w:rsidR="0C022DB6" w:rsidP="0C022DB6" w:rsidRDefault="0C022DB6" w14:paraId="1D7E3821" w14:textId="1933ADC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0.20</w:t>
            </w:r>
          </w:p>
        </w:tc>
        <w:tc>
          <w:tcPr>
            <w:tcW w:w="1226" w:type="dxa"/>
            <w:tcBorders>
              <w:top w:val="nil"/>
              <w:left w:val="nil"/>
              <w:bottom w:val="nil"/>
              <w:right w:val="nil"/>
            </w:tcBorders>
            <w:tcMar>
              <w:top w:w="15" w:type="dxa"/>
              <w:left w:w="15" w:type="dxa"/>
              <w:right w:w="15" w:type="dxa"/>
            </w:tcMar>
            <w:vAlign w:val="bottom"/>
          </w:tcPr>
          <w:p w:rsidR="0C022DB6" w:rsidP="0C022DB6" w:rsidRDefault="0C022DB6" w14:paraId="5A68BA82" w14:textId="015FD3B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0C022DB6" w:rsidR="0C022DB6">
              <w:rPr>
                <w:rFonts w:ascii="Times New Roman" w:hAnsi="Times New Roman" w:eastAsia="Times New Roman" w:cs="Times New Roman"/>
                <w:b w:val="0"/>
                <w:bCs w:val="0"/>
                <w:i w:val="0"/>
                <w:iCs w:val="0"/>
                <w:strike w:val="0"/>
                <w:dstrike w:val="0"/>
                <w:color w:val="000000" w:themeColor="text1" w:themeTint="FF" w:themeShade="FF"/>
                <w:sz w:val="24"/>
                <w:szCs w:val="24"/>
                <w:u w:val="none"/>
              </w:rPr>
              <w:t>0.23</w:t>
            </w:r>
          </w:p>
        </w:tc>
      </w:tr>
    </w:tbl>
    <w:p w:rsidR="05EC8521" w:rsidP="0C022DB6" w:rsidRDefault="05EC8521" w14:paraId="1B0DBEBB" w14:textId="714350A4">
      <w:pPr>
        <w:pStyle w:val="Normal"/>
        <w:spacing w:line="480" w:lineRule="auto"/>
        <w:ind w:left="0"/>
        <w:jc w:val="left"/>
      </w:pPr>
    </w:p>
    <w:p w:rsidR="05EC8521" w:rsidP="0C022DB6" w:rsidRDefault="05EC8521" w14:paraId="344FAF6E" w14:textId="66DC3D82">
      <w:pPr>
        <w:pStyle w:val="Normal"/>
        <w:spacing w:line="480" w:lineRule="auto"/>
        <w:ind w:left="0" w:firstLine="720"/>
        <w:jc w:val="left"/>
      </w:pPr>
      <w:r w:rsidRPr="0C022DB6" w:rsidR="05EC8521">
        <w:rPr>
          <w:rFonts w:ascii="Times New Roman" w:hAnsi="Times New Roman" w:eastAsia="Times New Roman" w:cs="Times New Roman"/>
          <w:b w:val="0"/>
          <w:bCs w:val="0"/>
        </w:rPr>
        <w:t xml:space="preserve">Target's liquidity ratios show that the company's ability to cover its short-term obligations decreased from 2020 through </w:t>
      </w:r>
      <w:r w:rsidRPr="0C022DB6" w:rsidR="3ABE43E8">
        <w:rPr>
          <w:rFonts w:ascii="Times New Roman" w:hAnsi="Times New Roman" w:eastAsia="Times New Roman" w:cs="Times New Roman"/>
          <w:b w:val="0"/>
          <w:bCs w:val="0"/>
        </w:rPr>
        <w:t>2022 but</w:t>
      </w:r>
      <w:r w:rsidRPr="0C022DB6" w:rsidR="05EC8521">
        <w:rPr>
          <w:rFonts w:ascii="Times New Roman" w:hAnsi="Times New Roman" w:eastAsia="Times New Roman" w:cs="Times New Roman"/>
          <w:b w:val="0"/>
          <w:bCs w:val="0"/>
        </w:rPr>
        <w:t xml:space="preserve"> started to improve in 2023 and 2024. The current ratio decreased from 1.03 in 2020 to 0.92 in 2022 and reached 0.91 </w:t>
      </w:r>
      <w:r w:rsidRPr="0C022DB6" w:rsidR="3F3D4581">
        <w:rPr>
          <w:rFonts w:ascii="Times New Roman" w:hAnsi="Times New Roman" w:eastAsia="Times New Roman" w:cs="Times New Roman"/>
          <w:b w:val="0"/>
          <w:bCs w:val="0"/>
        </w:rPr>
        <w:t xml:space="preserve">in 2023 before increasing </w:t>
      </w:r>
      <w:r w:rsidRPr="0C022DB6" w:rsidR="1A54BC87">
        <w:rPr>
          <w:rFonts w:ascii="Times New Roman" w:hAnsi="Times New Roman" w:eastAsia="Times New Roman" w:cs="Times New Roman"/>
          <w:b w:val="0"/>
          <w:bCs w:val="0"/>
        </w:rPr>
        <w:t>slightly</w:t>
      </w:r>
      <w:r w:rsidRPr="0C022DB6" w:rsidR="3F3D4581">
        <w:rPr>
          <w:rFonts w:ascii="Times New Roman" w:hAnsi="Times New Roman" w:eastAsia="Times New Roman" w:cs="Times New Roman"/>
          <w:b w:val="0"/>
          <w:bCs w:val="0"/>
        </w:rPr>
        <w:t xml:space="preserve"> to 0.94 in 2024. Since the current ratio has been below 1.00 since 2021, Target has had more current </w:t>
      </w:r>
      <w:r w:rsidRPr="0C022DB6" w:rsidR="313A6933">
        <w:rPr>
          <w:rFonts w:ascii="Times New Roman" w:hAnsi="Times New Roman" w:eastAsia="Times New Roman" w:cs="Times New Roman"/>
          <w:b w:val="0"/>
          <w:bCs w:val="0"/>
        </w:rPr>
        <w:t>liabilities</w:t>
      </w:r>
      <w:r w:rsidRPr="0C022DB6" w:rsidR="3F3D4581">
        <w:rPr>
          <w:rFonts w:ascii="Times New Roman" w:hAnsi="Times New Roman" w:eastAsia="Times New Roman" w:cs="Times New Roman"/>
          <w:b w:val="0"/>
          <w:bCs w:val="0"/>
        </w:rPr>
        <w:t xml:space="preserve"> than current assets at the end of each of those years. The </w:t>
      </w:r>
      <w:r w:rsidRPr="0C022DB6" w:rsidR="3F3D4581">
        <w:rPr>
          <w:rFonts w:ascii="Times New Roman" w:hAnsi="Times New Roman" w:eastAsia="Times New Roman" w:cs="Times New Roman"/>
          <w:b w:val="0"/>
          <w:bCs w:val="0"/>
        </w:rPr>
        <w:t>acid test</w:t>
      </w:r>
      <w:r w:rsidRPr="0C022DB6" w:rsidR="3F3D4581">
        <w:rPr>
          <w:rFonts w:ascii="Times New Roman" w:hAnsi="Times New Roman" w:eastAsia="Times New Roman" w:cs="Times New Roman"/>
          <w:b w:val="0"/>
          <w:bCs w:val="0"/>
        </w:rPr>
        <w:t xml:space="preserve"> ratio also decreased from 0.50 in 2020 to 0.22 in 2022 before improving to 0.32 in 2024. The cash </w:t>
      </w:r>
      <w:r w:rsidRPr="0C022DB6" w:rsidR="2B19966A">
        <w:rPr>
          <w:rFonts w:ascii="Times New Roman" w:hAnsi="Times New Roman" w:eastAsia="Times New Roman" w:cs="Times New Roman"/>
          <w:b w:val="0"/>
          <w:bCs w:val="0"/>
        </w:rPr>
        <w:t xml:space="preserve">ratio followed the same trend, falling from </w:t>
      </w:r>
      <w:r w:rsidRPr="0C022DB6" w:rsidR="59DAC72A">
        <w:rPr>
          <w:rFonts w:ascii="Times New Roman" w:hAnsi="Times New Roman" w:eastAsia="Times New Roman" w:cs="Times New Roman"/>
          <w:b w:val="0"/>
          <w:bCs w:val="0"/>
        </w:rPr>
        <w:t>0.42</w:t>
      </w:r>
      <w:r w:rsidRPr="0C022DB6" w:rsidR="2B19966A">
        <w:rPr>
          <w:rFonts w:ascii="Times New Roman" w:hAnsi="Times New Roman" w:eastAsia="Times New Roman" w:cs="Times New Roman"/>
          <w:b w:val="0"/>
          <w:bCs w:val="0"/>
        </w:rPr>
        <w:t xml:space="preserve"> in 2020 to 0.11 in 2022 and then recovering to 0.23 in 2024. </w:t>
      </w:r>
    </w:p>
    <w:p w:rsidR="2B19966A" w:rsidP="0C022DB6" w:rsidRDefault="2B19966A" w14:paraId="3A946EE1" w14:textId="6E643B18">
      <w:pPr>
        <w:pStyle w:val="Normal"/>
        <w:spacing w:line="480" w:lineRule="auto"/>
        <w:ind w:left="0" w:firstLine="720"/>
        <w:jc w:val="left"/>
        <w:rPr>
          <w:rFonts w:ascii="Times New Roman" w:hAnsi="Times New Roman" w:eastAsia="Times New Roman" w:cs="Times New Roman"/>
          <w:b w:val="0"/>
          <w:bCs w:val="0"/>
        </w:rPr>
      </w:pPr>
      <w:r w:rsidRPr="4EF34917" w:rsidR="2A8D699D">
        <w:rPr>
          <w:rFonts w:ascii="Times New Roman" w:hAnsi="Times New Roman" w:eastAsia="Times New Roman" w:cs="Times New Roman"/>
          <w:b w:val="0"/>
          <w:bCs w:val="0"/>
        </w:rPr>
        <w:t xml:space="preserve">One reason for the decline was the challenges Target faced with inventory and its supply chain. In 2022, Target dealt with higher inventory levels, </w:t>
      </w:r>
      <w:r w:rsidRPr="4EF34917" w:rsidR="6E24C1A8">
        <w:rPr>
          <w:rFonts w:ascii="Times New Roman" w:hAnsi="Times New Roman" w:eastAsia="Times New Roman" w:cs="Times New Roman"/>
          <w:b w:val="0"/>
          <w:bCs w:val="0"/>
        </w:rPr>
        <w:t>changing</w:t>
      </w:r>
      <w:r w:rsidRPr="4EF34917" w:rsidR="2A8D699D">
        <w:rPr>
          <w:rFonts w:ascii="Times New Roman" w:hAnsi="Times New Roman" w:eastAsia="Times New Roman" w:cs="Times New Roman"/>
          <w:b w:val="0"/>
          <w:bCs w:val="0"/>
        </w:rPr>
        <w:t xml:space="preserve"> consumer demand, and higher costs, which put pressure on the company's financial performance. </w:t>
      </w:r>
      <w:r w:rsidRPr="4EF34917" w:rsidR="2A8D699D">
        <w:rPr>
          <w:rFonts w:ascii="Times New Roman" w:hAnsi="Times New Roman" w:eastAsia="Times New Roman" w:cs="Times New Roman"/>
          <w:b w:val="0"/>
          <w:bCs w:val="0"/>
        </w:rPr>
        <w:t xml:space="preserve">By 2024, Target's cash balance had increased to </w:t>
      </w:r>
      <w:r w:rsidRPr="4EF34917" w:rsidR="2A8D699D">
        <w:rPr>
          <w:rFonts w:ascii="Times New Roman" w:hAnsi="Times New Roman" w:eastAsia="Times New Roman" w:cs="Times New Roman"/>
          <w:b w:val="0"/>
          <w:bCs w:val="0"/>
        </w:rPr>
        <w:t>$</w:t>
      </w:r>
      <w:r w:rsidRPr="4EF34917" w:rsidR="4050985C">
        <w:rPr>
          <w:rFonts w:ascii="Times New Roman" w:hAnsi="Times New Roman" w:eastAsia="Times New Roman" w:cs="Times New Roman"/>
          <w:b w:val="0"/>
          <w:bCs w:val="0"/>
        </w:rPr>
        <w:t>4.762 billion</w:t>
      </w:r>
      <w:r w:rsidRPr="4EF34917" w:rsidR="4050985C">
        <w:rPr>
          <w:rFonts w:ascii="Times New Roman" w:hAnsi="Times New Roman" w:eastAsia="Times New Roman" w:cs="Times New Roman"/>
          <w:b w:val="0"/>
          <w:bCs w:val="0"/>
        </w:rPr>
        <w:t xml:space="preserve"> compared with </w:t>
      </w:r>
      <w:r w:rsidRPr="4EF34917" w:rsidR="6D778CAA">
        <w:rPr>
          <w:rFonts w:ascii="Times New Roman" w:hAnsi="Times New Roman" w:eastAsia="Times New Roman" w:cs="Times New Roman"/>
          <w:b w:val="0"/>
          <w:bCs w:val="0"/>
        </w:rPr>
        <w:t>$</w:t>
      </w:r>
      <w:r w:rsidRPr="4EF34917" w:rsidR="4050985C">
        <w:rPr>
          <w:rFonts w:ascii="Times New Roman" w:hAnsi="Times New Roman" w:eastAsia="Times New Roman" w:cs="Times New Roman"/>
          <w:b w:val="0"/>
          <w:bCs w:val="0"/>
        </w:rPr>
        <w:t>2.229 billion</w:t>
      </w:r>
      <w:r w:rsidRPr="4EF34917" w:rsidR="4050985C">
        <w:rPr>
          <w:rFonts w:ascii="Times New Roman" w:hAnsi="Times New Roman" w:eastAsia="Times New Roman" w:cs="Times New Roman"/>
          <w:b w:val="0"/>
          <w:bCs w:val="0"/>
        </w:rPr>
        <w:t xml:space="preserve"> in 2022, which helped improve its </w:t>
      </w:r>
      <w:r w:rsidRPr="4EF34917" w:rsidR="31C1BF62">
        <w:rPr>
          <w:rFonts w:ascii="Times New Roman" w:hAnsi="Times New Roman" w:eastAsia="Times New Roman" w:cs="Times New Roman"/>
          <w:b w:val="0"/>
          <w:bCs w:val="0"/>
        </w:rPr>
        <w:t xml:space="preserve">cash ratio and overall </w:t>
      </w:r>
      <w:r w:rsidRPr="4EF34917" w:rsidR="31C1BF62">
        <w:rPr>
          <w:rFonts w:ascii="Times New Roman" w:hAnsi="Times New Roman" w:eastAsia="Times New Roman" w:cs="Times New Roman"/>
          <w:b w:val="0"/>
          <w:bCs w:val="0"/>
        </w:rPr>
        <w:t>liquidity</w:t>
      </w:r>
      <w:r w:rsidRPr="4EF34917" w:rsidR="31C1BF62">
        <w:rPr>
          <w:rFonts w:ascii="Times New Roman" w:hAnsi="Times New Roman" w:eastAsia="Times New Roman" w:cs="Times New Roman"/>
          <w:b w:val="0"/>
          <w:bCs w:val="0"/>
        </w:rPr>
        <w:t xml:space="preserve"> position</w:t>
      </w:r>
      <w:r w:rsidRPr="4EF34917" w:rsidR="4050985C">
        <w:rPr>
          <w:rFonts w:ascii="Times New Roman" w:hAnsi="Times New Roman" w:eastAsia="Times New Roman" w:cs="Times New Roman"/>
          <w:b w:val="0"/>
          <w:bCs w:val="0"/>
        </w:rPr>
        <w:t>.</w:t>
      </w:r>
      <w:r w:rsidRPr="4EF34917" w:rsidR="4050985C">
        <w:rPr>
          <w:rFonts w:ascii="Times New Roman" w:hAnsi="Times New Roman" w:eastAsia="Times New Roman" w:cs="Times New Roman"/>
          <w:b w:val="0"/>
          <w:bCs w:val="0"/>
        </w:rPr>
        <w:t xml:space="preserve"> Overall, Target's </w:t>
      </w:r>
      <w:r w:rsidRPr="4EF34917" w:rsidR="017CC354">
        <w:rPr>
          <w:rFonts w:ascii="Times New Roman" w:hAnsi="Times New Roman" w:eastAsia="Times New Roman" w:cs="Times New Roman"/>
          <w:b w:val="0"/>
          <w:bCs w:val="0"/>
        </w:rPr>
        <w:t>liquidity</w:t>
      </w:r>
      <w:r w:rsidRPr="4EF34917" w:rsidR="4050985C">
        <w:rPr>
          <w:rFonts w:ascii="Times New Roman" w:hAnsi="Times New Roman" w:eastAsia="Times New Roman" w:cs="Times New Roman"/>
          <w:b w:val="0"/>
          <w:bCs w:val="0"/>
        </w:rPr>
        <w:t xml:space="preserve"> has improved since 2022, but the ratios have not returned to their 2020 </w:t>
      </w:r>
      <w:r w:rsidRPr="4EF34917" w:rsidR="67F999FC">
        <w:rPr>
          <w:rFonts w:ascii="Times New Roman" w:hAnsi="Times New Roman" w:eastAsia="Times New Roman" w:cs="Times New Roman"/>
          <w:b w:val="0"/>
          <w:bCs w:val="0"/>
        </w:rPr>
        <w:t>levels</w:t>
      </w:r>
      <w:r w:rsidRPr="4EF34917" w:rsidR="4050985C">
        <w:rPr>
          <w:rFonts w:ascii="Times New Roman" w:hAnsi="Times New Roman" w:eastAsia="Times New Roman" w:cs="Times New Roman"/>
          <w:b w:val="0"/>
          <w:bCs w:val="0"/>
        </w:rPr>
        <w:t xml:space="preserve">. </w:t>
      </w:r>
      <w:r w:rsidRPr="4EF34917" w:rsidR="4050985C">
        <w:rPr>
          <w:rFonts w:ascii="Times New Roman" w:hAnsi="Times New Roman" w:eastAsia="Times New Roman" w:cs="Times New Roman"/>
          <w:b w:val="0"/>
          <w:bCs w:val="0"/>
        </w:rPr>
        <w:t xml:space="preserve">In our </w:t>
      </w:r>
      <w:r w:rsidRPr="4EF34917" w:rsidR="015E9A09">
        <w:rPr>
          <w:rFonts w:ascii="Times New Roman" w:hAnsi="Times New Roman" w:eastAsia="Times New Roman" w:cs="Times New Roman"/>
          <w:b w:val="0"/>
          <w:bCs w:val="0"/>
        </w:rPr>
        <w:t>opinion</w:t>
      </w:r>
      <w:r w:rsidRPr="4EF34917" w:rsidR="4050985C">
        <w:rPr>
          <w:rFonts w:ascii="Times New Roman" w:hAnsi="Times New Roman" w:eastAsia="Times New Roman" w:cs="Times New Roman"/>
          <w:b w:val="0"/>
          <w:bCs w:val="0"/>
        </w:rPr>
        <w:t>, Target</w:t>
      </w:r>
      <w:r w:rsidRPr="4EF34917" w:rsidR="4050985C">
        <w:rPr>
          <w:rFonts w:ascii="Times New Roman" w:hAnsi="Times New Roman" w:eastAsia="Times New Roman" w:cs="Times New Roman"/>
          <w:b w:val="0"/>
          <w:bCs w:val="0"/>
        </w:rPr>
        <w:t xml:space="preserve"> should continue managing its cash, in</w:t>
      </w:r>
      <w:r w:rsidRPr="4EF34917" w:rsidR="4DF288A3">
        <w:rPr>
          <w:rFonts w:ascii="Times New Roman" w:hAnsi="Times New Roman" w:eastAsia="Times New Roman" w:cs="Times New Roman"/>
          <w:b w:val="0"/>
          <w:bCs w:val="0"/>
        </w:rPr>
        <w:t xml:space="preserve">ventory, and short-term obligations </w:t>
      </w:r>
      <w:r w:rsidRPr="4EF34917" w:rsidR="3FA887C2">
        <w:rPr>
          <w:rFonts w:ascii="Times New Roman" w:hAnsi="Times New Roman" w:eastAsia="Times New Roman" w:cs="Times New Roman"/>
          <w:b w:val="0"/>
          <w:bCs w:val="0"/>
        </w:rPr>
        <w:t>carefully</w:t>
      </w:r>
      <w:r w:rsidRPr="4EF34917" w:rsidR="4DF288A3">
        <w:rPr>
          <w:rFonts w:ascii="Times New Roman" w:hAnsi="Times New Roman" w:eastAsia="Times New Roman" w:cs="Times New Roman"/>
          <w:b w:val="0"/>
          <w:bCs w:val="0"/>
        </w:rPr>
        <w:t xml:space="preserve"> to further improve its </w:t>
      </w:r>
      <w:r w:rsidRPr="4EF34917" w:rsidR="771D2C3B">
        <w:rPr>
          <w:rFonts w:ascii="Times New Roman" w:hAnsi="Times New Roman" w:eastAsia="Times New Roman" w:cs="Times New Roman"/>
          <w:b w:val="0"/>
          <w:bCs w:val="0"/>
        </w:rPr>
        <w:t>liquidity</w:t>
      </w:r>
      <w:r w:rsidRPr="4EF34917" w:rsidR="4DF288A3">
        <w:rPr>
          <w:rFonts w:ascii="Times New Roman" w:hAnsi="Times New Roman" w:eastAsia="Times New Roman" w:cs="Times New Roman"/>
          <w:b w:val="0"/>
          <w:bCs w:val="0"/>
        </w:rPr>
        <w:t xml:space="preserve">. </w:t>
      </w:r>
    </w:p>
    <w:p w:rsidR="547D4602" w:rsidP="0C022DB6" w:rsidRDefault="547D4602" w14:paraId="1A7C46E0" w14:textId="18913EF8">
      <w:pPr>
        <w:pStyle w:val="ListParagraph"/>
        <w:numPr>
          <w:ilvl w:val="0"/>
          <w:numId w:val="1"/>
        </w:numPr>
        <w:spacing w:line="480" w:lineRule="auto"/>
        <w:jc w:val="left"/>
        <w:rPr>
          <w:rFonts w:ascii="Times New Roman" w:hAnsi="Times New Roman" w:eastAsia="Times New Roman" w:cs="Times New Roman"/>
          <w:b w:val="1"/>
          <w:bCs w:val="1"/>
        </w:rPr>
      </w:pPr>
      <w:r w:rsidRPr="4EF34917" w:rsidR="27FD974A">
        <w:rPr>
          <w:rFonts w:ascii="Times New Roman" w:hAnsi="Times New Roman" w:eastAsia="Times New Roman" w:cs="Times New Roman"/>
          <w:b w:val="1"/>
          <w:bCs w:val="1"/>
        </w:rPr>
        <w:t xml:space="preserve">Efficiency </w:t>
      </w:r>
      <w:r w:rsidRPr="4EF34917" w:rsidR="27FD974A">
        <w:rPr>
          <w:rFonts w:ascii="Times New Roman" w:hAnsi="Times New Roman" w:eastAsia="Times New Roman" w:cs="Times New Roman"/>
          <w:b w:val="1"/>
          <w:bCs w:val="1"/>
        </w:rPr>
        <w:t>Analysis</w:t>
      </w:r>
    </w:p>
    <w:tbl>
      <w:tblPr>
        <w:tblStyle w:val="TableNormal"/>
        <w:bidiVisual w:val="0"/>
        <w:tblW w:w="0" w:type="auto"/>
        <w:tblLook w:val="06A0" w:firstRow="1" w:lastRow="0" w:firstColumn="1" w:lastColumn="0" w:noHBand="1" w:noVBand="1"/>
      </w:tblPr>
      <w:tblGrid>
        <w:gridCol w:w="3627"/>
        <w:gridCol w:w="991"/>
        <w:gridCol w:w="991"/>
        <w:gridCol w:w="991"/>
        <w:gridCol w:w="991"/>
        <w:gridCol w:w="991"/>
      </w:tblGrid>
      <w:tr w:rsidR="4EF34917" w:rsidTr="4EF34917" w14:paraId="60208E00">
        <w:trPr>
          <w:trHeight w:val="345"/>
        </w:trPr>
        <w:tc>
          <w:tcPr>
            <w:tcW w:w="3627" w:type="dxa"/>
            <w:tcBorders>
              <w:top w:val="nil"/>
              <w:left w:val="nil"/>
              <w:bottom w:val="nil"/>
              <w:right w:val="nil"/>
            </w:tcBorders>
            <w:tcMar>
              <w:top w:w="15" w:type="dxa"/>
              <w:left w:w="15" w:type="dxa"/>
              <w:right w:w="15" w:type="dxa"/>
            </w:tcMar>
            <w:vAlign w:val="bottom"/>
          </w:tcPr>
          <w:p w:rsidR="4EF34917" w:rsidP="4EF34917" w:rsidRDefault="4EF34917" w14:paraId="76A262BA" w14:textId="3C597FEC">
            <w:pPr>
              <w:spacing w:before="0" w:beforeAutospacing="off" w:after="0" w:afterAutospacing="off"/>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Efficiency Ratios</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B58E424" w14:textId="21759A2A">
            <w:pPr>
              <w:spacing w:before="0" w:beforeAutospacing="off" w:after="0" w:afterAutospacing="off"/>
              <w:jc w:val="right"/>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2020</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6780986F" w14:textId="5A26109A">
            <w:pPr>
              <w:spacing w:before="0" w:beforeAutospacing="off" w:after="0" w:afterAutospacing="off"/>
              <w:jc w:val="right"/>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2021</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3F849345" w14:textId="2A11C854">
            <w:pPr>
              <w:spacing w:before="0" w:beforeAutospacing="off" w:after="0" w:afterAutospacing="off"/>
              <w:jc w:val="right"/>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2022</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7DA2D3D9" w14:textId="08A5DA12">
            <w:pPr>
              <w:spacing w:before="0" w:beforeAutospacing="off" w:after="0" w:afterAutospacing="off"/>
              <w:jc w:val="right"/>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2023</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16E23A46" w14:textId="2CC86045">
            <w:pPr>
              <w:spacing w:before="0" w:beforeAutospacing="off" w:after="0" w:afterAutospacing="off"/>
              <w:jc w:val="right"/>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2024</w:t>
            </w:r>
          </w:p>
        </w:tc>
      </w:tr>
      <w:tr w:rsidR="4EF34917" w:rsidTr="4EF34917" w14:paraId="3768E9AE">
        <w:trPr>
          <w:trHeight w:val="285"/>
        </w:trPr>
        <w:tc>
          <w:tcPr>
            <w:tcW w:w="3627" w:type="dxa"/>
            <w:tcBorders>
              <w:top w:val="nil"/>
              <w:left w:val="nil"/>
              <w:bottom w:val="nil"/>
              <w:right w:val="nil"/>
            </w:tcBorders>
            <w:tcMar>
              <w:top w:w="15" w:type="dxa"/>
              <w:left w:w="15" w:type="dxa"/>
              <w:right w:w="15" w:type="dxa"/>
            </w:tcMar>
            <w:vAlign w:val="bottom"/>
          </w:tcPr>
          <w:p w:rsidR="4EF34917" w:rsidP="4EF34917" w:rsidRDefault="4EF34917" w14:paraId="506E2E40" w14:textId="53D5A50D">
            <w:pPr>
              <w:rPr>
                <w:rFonts w:ascii="Times New Roman" w:hAnsi="Times New Roman" w:eastAsia="Times New Roman" w:cs="Times New Roman"/>
                <w:sz w:val="24"/>
                <w:szCs w:val="24"/>
              </w:rPr>
            </w:pP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0A243E5D" w14:textId="387492CC">
            <w:pPr>
              <w:rPr>
                <w:rFonts w:ascii="Times New Roman" w:hAnsi="Times New Roman" w:eastAsia="Times New Roman" w:cs="Times New Roman"/>
                <w:sz w:val="24"/>
                <w:szCs w:val="24"/>
              </w:rPr>
            </w:pP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62325710" w14:textId="0F14C1B2">
            <w:pPr>
              <w:rPr>
                <w:rFonts w:ascii="Times New Roman" w:hAnsi="Times New Roman" w:eastAsia="Times New Roman" w:cs="Times New Roman"/>
                <w:sz w:val="24"/>
                <w:szCs w:val="24"/>
              </w:rPr>
            </w:pP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0EDC933C" w14:textId="25194506">
            <w:pPr>
              <w:rPr>
                <w:rFonts w:ascii="Times New Roman" w:hAnsi="Times New Roman" w:eastAsia="Times New Roman" w:cs="Times New Roman"/>
                <w:sz w:val="24"/>
                <w:szCs w:val="24"/>
              </w:rPr>
            </w:pP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3413DC76" w14:textId="34084C84">
            <w:pPr>
              <w:rPr>
                <w:rFonts w:ascii="Times New Roman" w:hAnsi="Times New Roman" w:eastAsia="Times New Roman" w:cs="Times New Roman"/>
                <w:sz w:val="24"/>
                <w:szCs w:val="24"/>
              </w:rPr>
            </w:pP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3F55348A" w14:textId="7FED514F">
            <w:pPr>
              <w:rPr>
                <w:rFonts w:ascii="Times New Roman" w:hAnsi="Times New Roman" w:eastAsia="Times New Roman" w:cs="Times New Roman"/>
                <w:sz w:val="24"/>
                <w:szCs w:val="24"/>
              </w:rPr>
            </w:pPr>
          </w:p>
        </w:tc>
      </w:tr>
      <w:tr w:rsidR="4EF34917" w:rsidTr="4EF34917" w14:paraId="57500405">
        <w:trPr>
          <w:trHeight w:val="315"/>
        </w:trPr>
        <w:tc>
          <w:tcPr>
            <w:tcW w:w="3627" w:type="dxa"/>
            <w:tcBorders>
              <w:top w:val="nil"/>
              <w:left w:val="nil"/>
              <w:bottom w:val="nil"/>
              <w:right w:val="nil"/>
            </w:tcBorders>
            <w:tcMar>
              <w:top w:w="15" w:type="dxa"/>
              <w:left w:w="15" w:type="dxa"/>
              <w:right w:w="15" w:type="dxa"/>
            </w:tcMar>
            <w:vAlign w:val="bottom"/>
          </w:tcPr>
          <w:p w:rsidR="4EF34917" w:rsidP="4EF34917" w:rsidRDefault="4EF34917" w14:paraId="4D51A2F9" w14:textId="57A0097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Total Asset Turnover</w:t>
            </w:r>
          </w:p>
        </w:tc>
        <w:tc>
          <w:tcPr>
            <w:tcW w:w="991" w:type="dxa"/>
            <w:tcBorders>
              <w:top w:val="nil"/>
              <w:left w:val="nil"/>
              <w:bottom w:val="nil"/>
              <w:right w:val="nil"/>
            </w:tcBorders>
            <w:tcMar>
              <w:top w:w="15" w:type="dxa"/>
              <w:left w:w="15" w:type="dxa"/>
              <w:right w:w="15" w:type="dxa"/>
            </w:tcMar>
            <w:vAlign w:val="center"/>
          </w:tcPr>
          <w:p w:rsidR="4EF34917" w:rsidP="4EF34917" w:rsidRDefault="4EF34917" w14:paraId="3FCEB1C9" w14:textId="497B33C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1.97</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74D77E4C" w14:textId="4163054B">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1.99</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1749B4D7" w14:textId="50F74B1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2.01</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31386C4F" w14:textId="1E2633A7">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1.95</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6011B2E3" w14:textId="7EBF3C5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1.88</w:t>
            </w:r>
          </w:p>
        </w:tc>
      </w:tr>
      <w:tr w:rsidR="4EF34917" w:rsidTr="4EF34917" w14:paraId="76E7A7B3">
        <w:trPr>
          <w:trHeight w:val="315"/>
        </w:trPr>
        <w:tc>
          <w:tcPr>
            <w:tcW w:w="3627" w:type="dxa"/>
            <w:tcBorders>
              <w:top w:val="nil"/>
              <w:left w:val="nil"/>
              <w:bottom w:val="nil"/>
              <w:right w:val="nil"/>
            </w:tcBorders>
            <w:tcMar>
              <w:top w:w="15" w:type="dxa"/>
              <w:left w:w="15" w:type="dxa"/>
              <w:right w:w="15" w:type="dxa"/>
            </w:tcMar>
            <w:vAlign w:val="bottom"/>
          </w:tcPr>
          <w:p w:rsidR="4EF34917" w:rsidP="4EF34917" w:rsidRDefault="4EF34917" w14:paraId="2F6FA209" w14:textId="7209430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Inventory Turnover</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7052E6B0" w14:textId="569385E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6.74</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7B981D0A" w14:textId="4F92213C">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6.11</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7BC198A4" w14:textId="4C9DA27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6.00</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076A0B4B" w14:textId="1D42DC4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6.12</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2588E91C" w14:textId="5BD333B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6.21</w:t>
            </w:r>
          </w:p>
        </w:tc>
      </w:tr>
      <w:tr w:rsidR="4EF34917" w:rsidTr="4EF34917" w14:paraId="094270F4">
        <w:trPr>
          <w:trHeight w:val="315"/>
        </w:trPr>
        <w:tc>
          <w:tcPr>
            <w:tcW w:w="3627" w:type="dxa"/>
            <w:tcBorders>
              <w:top w:val="nil"/>
              <w:left w:val="nil"/>
              <w:bottom w:val="nil"/>
              <w:right w:val="nil"/>
            </w:tcBorders>
            <w:tcMar>
              <w:top w:w="15" w:type="dxa"/>
              <w:left w:w="15" w:type="dxa"/>
              <w:right w:w="15" w:type="dxa"/>
            </w:tcMar>
            <w:vAlign w:val="bottom"/>
          </w:tcPr>
          <w:p w:rsidR="4EF34917" w:rsidP="4EF34917" w:rsidRDefault="4EF34917" w14:paraId="7A39DCA8" w14:textId="01FDD8F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Days Inventory Outstanding</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796E260D" w14:textId="4B51E3B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54.18</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764B2BE" w14:textId="4D78F76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59.78</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A945F2C" w14:textId="7CF43B0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60.81</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8EE25C5" w14:textId="1D1CB9B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59.60</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E74D313" w14:textId="176A2A7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58.75</w:t>
            </w:r>
          </w:p>
        </w:tc>
      </w:tr>
      <w:tr w:rsidR="4EF34917" w:rsidTr="4EF34917" w14:paraId="6DEC1CAF">
        <w:trPr>
          <w:trHeight w:val="315"/>
        </w:trPr>
        <w:tc>
          <w:tcPr>
            <w:tcW w:w="3627" w:type="dxa"/>
            <w:tcBorders>
              <w:top w:val="nil"/>
              <w:left w:val="nil"/>
              <w:bottom w:val="nil"/>
              <w:right w:val="nil"/>
            </w:tcBorders>
            <w:tcMar>
              <w:top w:w="15" w:type="dxa"/>
              <w:left w:w="15" w:type="dxa"/>
              <w:right w:w="15" w:type="dxa"/>
            </w:tcMar>
            <w:vAlign w:val="bottom"/>
          </w:tcPr>
          <w:p w:rsidR="4EF34917" w:rsidP="4EF34917" w:rsidRDefault="4EF34917" w14:paraId="7282DB11" w14:textId="4579B3F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Accounts Receivable Turnover</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3C644516" w14:textId="6D92546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63.18</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75C0528" w14:textId="0636CD3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62.42</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20B89888" w14:textId="4922A04A">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55.49</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31AA54D4" w14:textId="13781761">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53.91</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24288400" w14:textId="020F801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56.70</w:t>
            </w:r>
          </w:p>
        </w:tc>
      </w:tr>
      <w:tr w:rsidR="4EF34917" w:rsidTr="4EF34917" w14:paraId="66A6B56C">
        <w:trPr>
          <w:trHeight w:val="315"/>
        </w:trPr>
        <w:tc>
          <w:tcPr>
            <w:tcW w:w="3627" w:type="dxa"/>
            <w:tcBorders>
              <w:top w:val="nil"/>
              <w:left w:val="nil"/>
              <w:bottom w:val="nil"/>
              <w:right w:val="nil"/>
            </w:tcBorders>
            <w:tcMar>
              <w:top w:w="15" w:type="dxa"/>
              <w:left w:w="15" w:type="dxa"/>
              <w:right w:w="15" w:type="dxa"/>
            </w:tcMar>
            <w:vAlign w:val="bottom"/>
          </w:tcPr>
          <w:p w:rsidR="4EF34917" w:rsidP="4EF34917" w:rsidRDefault="4EF34917" w14:paraId="4825965D" w14:textId="1D01DC2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Average Collection Period</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4C4595C0" w14:textId="72C0B06C">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5.78</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77CB610E" w14:textId="52E28D6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5.85</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218B2990" w14:textId="6A80FF4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6.58</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10DBECCE" w14:textId="3A48A2C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6.77</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071CC904" w14:textId="21F65B8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6.44</w:t>
            </w:r>
          </w:p>
        </w:tc>
      </w:tr>
      <w:tr w:rsidR="4EF34917" w:rsidTr="4EF34917" w14:paraId="4FF81F80">
        <w:trPr>
          <w:trHeight w:val="315"/>
        </w:trPr>
        <w:tc>
          <w:tcPr>
            <w:tcW w:w="3627" w:type="dxa"/>
            <w:tcBorders>
              <w:top w:val="nil"/>
              <w:left w:val="nil"/>
              <w:bottom w:val="nil"/>
              <w:right w:val="nil"/>
            </w:tcBorders>
            <w:tcMar>
              <w:top w:w="15" w:type="dxa"/>
              <w:left w:w="15" w:type="dxa"/>
              <w:right w:w="15" w:type="dxa"/>
            </w:tcMar>
            <w:vAlign w:val="bottom"/>
          </w:tcPr>
          <w:p w:rsidR="4EF34917" w:rsidP="4EF34917" w:rsidRDefault="4EF34917" w14:paraId="09EB9F4F" w14:textId="6574123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Accounts Payable Turnover</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7DC7A09D" w14:textId="03D3324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5.81</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060499F" w14:textId="3B89E6D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5.29</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26FD0AD4" w14:textId="2E97CF2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5.68</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6A8EBC7" w14:textId="0B48CBBC">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6.08</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68FBFAC5" w14:textId="39D29795">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6.08</w:t>
            </w:r>
          </w:p>
        </w:tc>
      </w:tr>
      <w:tr w:rsidR="4EF34917" w:rsidTr="4EF34917" w14:paraId="1349F223">
        <w:trPr>
          <w:trHeight w:val="315"/>
        </w:trPr>
        <w:tc>
          <w:tcPr>
            <w:tcW w:w="3627" w:type="dxa"/>
            <w:tcBorders>
              <w:top w:val="nil"/>
              <w:left w:val="nil"/>
              <w:bottom w:val="nil"/>
              <w:right w:val="nil"/>
            </w:tcBorders>
            <w:tcMar>
              <w:top w:w="15" w:type="dxa"/>
              <w:left w:w="15" w:type="dxa"/>
              <w:right w:w="15" w:type="dxa"/>
            </w:tcMar>
            <w:vAlign w:val="bottom"/>
          </w:tcPr>
          <w:p w:rsidR="4EF34917" w:rsidP="4EF34917" w:rsidRDefault="4EF34917" w14:paraId="1DA60D36" w14:textId="47CC6B4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Average Payment Period</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3DB5610B" w14:textId="1CCE685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62.82</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0CA991FE" w14:textId="37712FE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68.99</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0ABE4198" w14:textId="4A5FDA43">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64.29</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3BE30FB1" w14:textId="0FE0E97E">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60.07</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E5C3660" w14:textId="09BEEE8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60.00</w:t>
            </w:r>
          </w:p>
        </w:tc>
      </w:tr>
      <w:tr w:rsidR="4EF34917" w:rsidTr="4EF34917" w14:paraId="03520F56">
        <w:trPr>
          <w:trHeight w:val="315"/>
        </w:trPr>
        <w:tc>
          <w:tcPr>
            <w:tcW w:w="3627" w:type="dxa"/>
            <w:tcBorders>
              <w:top w:val="nil"/>
              <w:left w:val="nil"/>
              <w:bottom w:val="nil"/>
              <w:right w:val="nil"/>
            </w:tcBorders>
            <w:tcMar>
              <w:top w:w="15" w:type="dxa"/>
              <w:left w:w="15" w:type="dxa"/>
              <w:right w:w="15" w:type="dxa"/>
            </w:tcMar>
            <w:vAlign w:val="bottom"/>
          </w:tcPr>
          <w:p w:rsidR="4EF34917" w:rsidP="4EF34917" w:rsidRDefault="4EF34917" w14:paraId="4834C62C" w14:textId="1B38012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Operating Cycle</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CFA77D3" w14:textId="17A192B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59.95</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1FE23786" w14:textId="6E7E32E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65.63</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2298D34E" w14:textId="532B5C04">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67.39</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15F1DD3F" w14:textId="4DB4448F">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66.37</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29030010" w14:textId="18879B6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65.18</w:t>
            </w:r>
          </w:p>
        </w:tc>
      </w:tr>
      <w:tr w:rsidR="4EF34917" w:rsidTr="4EF34917" w14:paraId="057CAD29">
        <w:trPr>
          <w:trHeight w:val="315"/>
        </w:trPr>
        <w:tc>
          <w:tcPr>
            <w:tcW w:w="3627" w:type="dxa"/>
            <w:tcBorders>
              <w:top w:val="nil"/>
              <w:left w:val="nil"/>
              <w:bottom w:val="nil"/>
              <w:right w:val="nil"/>
            </w:tcBorders>
            <w:tcMar>
              <w:top w:w="15" w:type="dxa"/>
              <w:left w:w="15" w:type="dxa"/>
              <w:right w:w="15" w:type="dxa"/>
            </w:tcMar>
            <w:vAlign w:val="bottom"/>
          </w:tcPr>
          <w:p w:rsidR="4EF34917" w:rsidP="4EF34917" w:rsidRDefault="4EF34917" w14:paraId="73BC5650" w14:textId="6CB019A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Cash Conversion Cycle</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70D843D" w14:textId="532A1512">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-2.87</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06909D86" w14:textId="11B12B3D">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-3.36</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723E9C98" w14:textId="3FDEB988">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3.11</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511FDE81" w14:textId="5511FFA6">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6.30</w:t>
            </w:r>
          </w:p>
        </w:tc>
        <w:tc>
          <w:tcPr>
            <w:tcW w:w="991" w:type="dxa"/>
            <w:tcBorders>
              <w:top w:val="nil"/>
              <w:left w:val="nil"/>
              <w:bottom w:val="nil"/>
              <w:right w:val="nil"/>
            </w:tcBorders>
            <w:tcMar>
              <w:top w:w="15" w:type="dxa"/>
              <w:left w:w="15" w:type="dxa"/>
              <w:right w:w="15" w:type="dxa"/>
            </w:tcMar>
            <w:vAlign w:val="bottom"/>
          </w:tcPr>
          <w:p w:rsidR="4EF34917" w:rsidP="4EF34917" w:rsidRDefault="4EF34917" w14:paraId="42431A93" w14:textId="7FCD9DE0">
            <w:pPr>
              <w:spacing w:before="0" w:beforeAutospacing="off" w:after="0" w:afterAutospacing="off"/>
              <w:jc w:val="righ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5.19</w:t>
            </w:r>
          </w:p>
        </w:tc>
      </w:tr>
    </w:tbl>
    <w:p w:rsidR="4EF34917" w:rsidP="4EF34917" w:rsidRDefault="4EF34917" w14:paraId="3D26B538" w14:textId="1C74975A">
      <w:pPr>
        <w:pStyle w:val="Normal"/>
        <w:spacing w:line="480" w:lineRule="auto"/>
        <w:ind w:left="0"/>
        <w:jc w:val="left"/>
        <w:rPr>
          <w:rFonts w:ascii="Times New Roman" w:hAnsi="Times New Roman" w:eastAsia="Times New Roman" w:cs="Times New Roman"/>
          <w:b w:val="1"/>
          <w:bCs w:val="1"/>
        </w:rPr>
      </w:pPr>
    </w:p>
    <w:p w:rsidR="76E95CF2" w:rsidP="4EF34917" w:rsidRDefault="76E95CF2" w14:paraId="4B445F2D" w14:textId="4E495DB3">
      <w:pPr>
        <w:pStyle w:val="Normal"/>
        <w:spacing w:line="480" w:lineRule="auto"/>
        <w:ind w:left="0"/>
        <w:jc w:val="left"/>
      </w:pPr>
      <w:r w:rsidRPr="4EF34917" w:rsidR="76E95CF2">
        <w:rPr>
          <w:rFonts w:ascii="Times New Roman" w:hAnsi="Times New Roman" w:eastAsia="Times New Roman" w:cs="Times New Roman"/>
          <w:b w:val="0"/>
          <w:bCs w:val="0"/>
        </w:rPr>
        <w:t xml:space="preserve">Target’s efficiency ratios show how well it uses its assets and how long </w:t>
      </w:r>
      <w:r w:rsidRPr="4EF34917" w:rsidR="7CE67BB1">
        <w:rPr>
          <w:rFonts w:ascii="Times New Roman" w:hAnsi="Times New Roman" w:eastAsia="Times New Roman" w:cs="Times New Roman"/>
          <w:b w:val="0"/>
          <w:bCs w:val="0"/>
        </w:rPr>
        <w:t xml:space="preserve">it takes to move inventory, collect cash, and pay suppliers. Total asset turnover rose from 1.97 times in 2020 to 2.01 </w:t>
      </w:r>
      <w:r w:rsidRPr="4EF34917" w:rsidR="33C8066C">
        <w:rPr>
          <w:rFonts w:ascii="Times New Roman" w:hAnsi="Times New Roman" w:eastAsia="Times New Roman" w:cs="Times New Roman"/>
          <w:b w:val="0"/>
          <w:bCs w:val="0"/>
        </w:rPr>
        <w:t>times</w:t>
      </w:r>
      <w:r w:rsidRPr="4EF34917" w:rsidR="7CE67BB1">
        <w:rPr>
          <w:rFonts w:ascii="Times New Roman" w:hAnsi="Times New Roman" w:eastAsia="Times New Roman" w:cs="Times New Roman"/>
          <w:b w:val="0"/>
          <w:bCs w:val="0"/>
        </w:rPr>
        <w:t xml:space="preserve"> </w:t>
      </w:r>
      <w:r w:rsidRPr="4EF34917" w:rsidR="0B860A10">
        <w:rPr>
          <w:rFonts w:ascii="Times New Roman" w:hAnsi="Times New Roman" w:eastAsia="Times New Roman" w:cs="Times New Roman"/>
          <w:b w:val="0"/>
          <w:bCs w:val="0"/>
        </w:rPr>
        <w:t>in</w:t>
      </w:r>
      <w:r w:rsidRPr="4EF34917" w:rsidR="7CE67BB1">
        <w:rPr>
          <w:rFonts w:ascii="Times New Roman" w:hAnsi="Times New Roman" w:eastAsia="Times New Roman" w:cs="Times New Roman"/>
          <w:b w:val="0"/>
          <w:bCs w:val="0"/>
        </w:rPr>
        <w:t xml:space="preserve"> </w:t>
      </w:r>
      <w:r w:rsidRPr="4EF34917" w:rsidR="798442CB">
        <w:rPr>
          <w:rFonts w:ascii="Times New Roman" w:hAnsi="Times New Roman" w:eastAsia="Times New Roman" w:cs="Times New Roman"/>
          <w:b w:val="0"/>
          <w:bCs w:val="0"/>
        </w:rPr>
        <w:t>2022 but</w:t>
      </w:r>
      <w:r w:rsidRPr="4EF34917" w:rsidR="7CE67BB1">
        <w:rPr>
          <w:rFonts w:ascii="Times New Roman" w:hAnsi="Times New Roman" w:eastAsia="Times New Roman" w:cs="Times New Roman"/>
          <w:b w:val="0"/>
          <w:bCs w:val="0"/>
        </w:rPr>
        <w:t xml:space="preserve"> fell to 1.88 times in</w:t>
      </w:r>
      <w:r w:rsidRPr="4EF34917" w:rsidR="18415962">
        <w:rPr>
          <w:rFonts w:ascii="Times New Roman" w:hAnsi="Times New Roman" w:eastAsia="Times New Roman" w:cs="Times New Roman"/>
          <w:b w:val="0"/>
          <w:bCs w:val="0"/>
        </w:rPr>
        <w:t xml:space="preserve"> 2024. This means that by 2024, </w:t>
      </w:r>
      <w:r w:rsidRPr="4EF34917" w:rsidR="16EB9D6B">
        <w:rPr>
          <w:rFonts w:ascii="Times New Roman" w:hAnsi="Times New Roman" w:eastAsia="Times New Roman" w:cs="Times New Roman"/>
          <w:b w:val="0"/>
          <w:bCs w:val="0"/>
        </w:rPr>
        <w:t>Target</w:t>
      </w:r>
      <w:r w:rsidRPr="4EF34917" w:rsidR="18415962">
        <w:rPr>
          <w:rFonts w:ascii="Times New Roman" w:hAnsi="Times New Roman" w:eastAsia="Times New Roman" w:cs="Times New Roman"/>
          <w:b w:val="0"/>
          <w:bCs w:val="0"/>
        </w:rPr>
        <w:t xml:space="preserve"> was generating slightly less sales revenue for each </w:t>
      </w:r>
      <w:r w:rsidRPr="4EF34917" w:rsidR="4FDAFBF6">
        <w:rPr>
          <w:rFonts w:ascii="Times New Roman" w:hAnsi="Times New Roman" w:eastAsia="Times New Roman" w:cs="Times New Roman"/>
          <w:b w:val="0"/>
          <w:bCs w:val="0"/>
        </w:rPr>
        <w:t>dollar</w:t>
      </w:r>
      <w:r w:rsidRPr="4EF34917" w:rsidR="18415962">
        <w:rPr>
          <w:rFonts w:ascii="Times New Roman" w:hAnsi="Times New Roman" w:eastAsia="Times New Roman" w:cs="Times New Roman"/>
          <w:b w:val="0"/>
          <w:bCs w:val="0"/>
        </w:rPr>
        <w:t xml:space="preserve"> of average </w:t>
      </w:r>
      <w:r w:rsidRPr="4EF34917" w:rsidR="75C37979">
        <w:rPr>
          <w:rFonts w:ascii="Times New Roman" w:hAnsi="Times New Roman" w:eastAsia="Times New Roman" w:cs="Times New Roman"/>
          <w:b w:val="0"/>
          <w:bCs w:val="0"/>
        </w:rPr>
        <w:t xml:space="preserve">assets than it had earlier in the period. </w:t>
      </w:r>
    </w:p>
    <w:p w:rsidR="5853894A" w:rsidP="4EF34917" w:rsidRDefault="5853894A" w14:paraId="503D3E8C" w14:textId="1A8E7ABE">
      <w:pPr>
        <w:pStyle w:val="Normal"/>
        <w:spacing w:line="480" w:lineRule="auto"/>
        <w:ind w:left="0"/>
        <w:jc w:val="left"/>
      </w:pPr>
      <w:r w:rsidRPr="4EF34917" w:rsidR="5853894A">
        <w:rPr>
          <w:rFonts w:ascii="Times New Roman" w:hAnsi="Times New Roman" w:eastAsia="Times New Roman" w:cs="Times New Roman"/>
          <w:b w:val="0"/>
          <w:bCs w:val="0"/>
        </w:rPr>
        <w:t>Inventory took longer to sell as well. Inventory turnover declined from 6.74 times in 2020 to 6.00 times in 2022</w:t>
      </w:r>
      <w:r w:rsidRPr="4EF34917" w:rsidR="77EAC9AF">
        <w:rPr>
          <w:rFonts w:ascii="Times New Roman" w:hAnsi="Times New Roman" w:eastAsia="Times New Roman" w:cs="Times New Roman"/>
          <w:b w:val="0"/>
          <w:bCs w:val="0"/>
        </w:rPr>
        <w:t>, before improving to 6.21 times in 2024. Days inventory outstanding followed that pattern, ri</w:t>
      </w:r>
      <w:r w:rsidRPr="4EF34917" w:rsidR="43C55916">
        <w:rPr>
          <w:rFonts w:ascii="Times New Roman" w:hAnsi="Times New Roman" w:eastAsia="Times New Roman" w:cs="Times New Roman"/>
          <w:b w:val="0"/>
          <w:bCs w:val="0"/>
        </w:rPr>
        <w:t xml:space="preserve">sing from </w:t>
      </w:r>
      <w:r w:rsidRPr="4EF34917" w:rsidR="43C55916">
        <w:rPr>
          <w:rFonts w:ascii="Times New Roman" w:hAnsi="Times New Roman" w:eastAsia="Times New Roman" w:cs="Times New Roman"/>
          <w:b w:val="0"/>
          <w:bCs w:val="0"/>
        </w:rPr>
        <w:t>54.18 days</w:t>
      </w:r>
      <w:r w:rsidRPr="4EF34917" w:rsidR="43C55916">
        <w:rPr>
          <w:rFonts w:ascii="Times New Roman" w:hAnsi="Times New Roman" w:eastAsia="Times New Roman" w:cs="Times New Roman"/>
          <w:b w:val="0"/>
          <w:bCs w:val="0"/>
        </w:rPr>
        <w:t xml:space="preserve"> in 2020 to </w:t>
      </w:r>
      <w:r w:rsidRPr="4EF34917" w:rsidR="43C55916">
        <w:rPr>
          <w:rFonts w:ascii="Times New Roman" w:hAnsi="Times New Roman" w:eastAsia="Times New Roman" w:cs="Times New Roman"/>
          <w:b w:val="0"/>
          <w:bCs w:val="0"/>
        </w:rPr>
        <w:t>60.81 days</w:t>
      </w:r>
      <w:r w:rsidRPr="4EF34917" w:rsidR="43C55916">
        <w:rPr>
          <w:rFonts w:ascii="Times New Roman" w:hAnsi="Times New Roman" w:eastAsia="Times New Roman" w:cs="Times New Roman"/>
          <w:b w:val="0"/>
          <w:bCs w:val="0"/>
        </w:rPr>
        <w:t xml:space="preserve"> in 2022 and then falling to </w:t>
      </w:r>
      <w:r w:rsidRPr="4EF34917" w:rsidR="43C55916">
        <w:rPr>
          <w:rFonts w:ascii="Times New Roman" w:hAnsi="Times New Roman" w:eastAsia="Times New Roman" w:cs="Times New Roman"/>
          <w:b w:val="0"/>
          <w:bCs w:val="0"/>
        </w:rPr>
        <w:t>58.75 days</w:t>
      </w:r>
      <w:r w:rsidRPr="4EF34917" w:rsidR="43C55916">
        <w:rPr>
          <w:rFonts w:ascii="Times New Roman" w:hAnsi="Times New Roman" w:eastAsia="Times New Roman" w:cs="Times New Roman"/>
          <w:b w:val="0"/>
          <w:bCs w:val="0"/>
        </w:rPr>
        <w:t xml:space="preserve"> in 2024. </w:t>
      </w:r>
      <w:r w:rsidRPr="4EF34917" w:rsidR="43C55916">
        <w:rPr>
          <w:rFonts w:ascii="Times New Roman" w:hAnsi="Times New Roman" w:eastAsia="Times New Roman" w:cs="Times New Roman"/>
          <w:b w:val="0"/>
          <w:bCs w:val="0"/>
        </w:rPr>
        <w:t>So, while inventory movement improved after 2022, products sti</w:t>
      </w:r>
      <w:r w:rsidRPr="4EF34917" w:rsidR="7458E9A3">
        <w:rPr>
          <w:rFonts w:ascii="Times New Roman" w:hAnsi="Times New Roman" w:eastAsia="Times New Roman" w:cs="Times New Roman"/>
          <w:b w:val="0"/>
          <w:bCs w:val="0"/>
        </w:rPr>
        <w:t>ll remained on hand loner than they did in 2020.</w:t>
      </w:r>
      <w:r w:rsidRPr="4EF34917" w:rsidR="7458E9A3">
        <w:rPr>
          <w:rFonts w:ascii="Times New Roman" w:hAnsi="Times New Roman" w:eastAsia="Times New Roman" w:cs="Times New Roman"/>
          <w:b w:val="0"/>
          <w:bCs w:val="0"/>
        </w:rPr>
        <w:t xml:space="preserve"> Receivables moved more quickly than inventory, although accounts receivable turnover declined from 63.18 to </w:t>
      </w:r>
      <w:r w:rsidRPr="4EF34917" w:rsidR="7EDE9E68">
        <w:rPr>
          <w:rFonts w:ascii="Times New Roman" w:hAnsi="Times New Roman" w:eastAsia="Times New Roman" w:cs="Times New Roman"/>
          <w:b w:val="0"/>
          <w:bCs w:val="0"/>
        </w:rPr>
        <w:t xml:space="preserve">56.70 times and the average collection period increased from 5.78 to 6.44 days over the five years. </w:t>
      </w:r>
    </w:p>
    <w:p w:rsidR="3ADA5710" w:rsidP="4EF34917" w:rsidRDefault="3ADA5710" w14:paraId="3F4DDC71" w14:textId="1862B4D3">
      <w:pPr>
        <w:pStyle w:val="Normal"/>
        <w:spacing w:line="480" w:lineRule="auto"/>
        <w:ind w:left="0"/>
        <w:jc w:val="left"/>
        <w:rPr>
          <w:rFonts w:ascii="Times New Roman" w:hAnsi="Times New Roman" w:eastAsia="Times New Roman" w:cs="Times New Roman"/>
          <w:b w:val="0"/>
          <w:bCs w:val="0"/>
        </w:rPr>
      </w:pPr>
      <w:r w:rsidRPr="4EF34917" w:rsidR="3ADA5710">
        <w:rPr>
          <w:rFonts w:ascii="Times New Roman" w:hAnsi="Times New Roman" w:eastAsia="Times New Roman" w:cs="Times New Roman"/>
          <w:b w:val="0"/>
          <w:bCs w:val="0"/>
        </w:rPr>
        <w:t>Target’s payment timing also changed. Accounts payable turnover increased from 5.81 times in 2020 to 6.08 times in 2024, while the average payment period shortened from 62</w:t>
      </w:r>
      <w:r w:rsidRPr="4EF34917" w:rsidR="64DE152B">
        <w:rPr>
          <w:rFonts w:ascii="Times New Roman" w:hAnsi="Times New Roman" w:eastAsia="Times New Roman" w:cs="Times New Roman"/>
          <w:b w:val="0"/>
          <w:bCs w:val="0"/>
        </w:rPr>
        <w:t xml:space="preserve">.82 to 60.00 </w:t>
      </w:r>
      <w:r w:rsidRPr="4EF34917" w:rsidR="5A9E26C0">
        <w:rPr>
          <w:rFonts w:ascii="Times New Roman" w:hAnsi="Times New Roman" w:eastAsia="Times New Roman" w:cs="Times New Roman"/>
          <w:b w:val="0"/>
          <w:bCs w:val="0"/>
        </w:rPr>
        <w:t>days</w:t>
      </w:r>
      <w:r w:rsidRPr="4EF34917" w:rsidR="64DE152B">
        <w:rPr>
          <w:rFonts w:ascii="Times New Roman" w:hAnsi="Times New Roman" w:eastAsia="Times New Roman" w:cs="Times New Roman"/>
          <w:b w:val="0"/>
          <w:bCs w:val="0"/>
        </w:rPr>
        <w:t xml:space="preserve">. With inventory taking longer to sell and payments being made sooner, the operating cycle increased from </w:t>
      </w:r>
      <w:r w:rsidRPr="4EF34917" w:rsidR="64DE152B">
        <w:rPr>
          <w:rFonts w:ascii="Times New Roman" w:hAnsi="Times New Roman" w:eastAsia="Times New Roman" w:cs="Times New Roman"/>
          <w:b w:val="0"/>
          <w:bCs w:val="0"/>
        </w:rPr>
        <w:t>59.95 days</w:t>
      </w:r>
      <w:r w:rsidRPr="4EF34917" w:rsidR="64DE152B">
        <w:rPr>
          <w:rFonts w:ascii="Times New Roman" w:hAnsi="Times New Roman" w:eastAsia="Times New Roman" w:cs="Times New Roman"/>
          <w:b w:val="0"/>
          <w:bCs w:val="0"/>
        </w:rPr>
        <w:t xml:space="preserve"> in 2020 to </w:t>
      </w:r>
      <w:r w:rsidRPr="4EF34917" w:rsidR="64DE152B">
        <w:rPr>
          <w:rFonts w:ascii="Times New Roman" w:hAnsi="Times New Roman" w:eastAsia="Times New Roman" w:cs="Times New Roman"/>
          <w:b w:val="0"/>
          <w:bCs w:val="0"/>
        </w:rPr>
        <w:t>65.18 days</w:t>
      </w:r>
      <w:r w:rsidRPr="4EF34917" w:rsidR="64DE152B">
        <w:rPr>
          <w:rFonts w:ascii="Times New Roman" w:hAnsi="Times New Roman" w:eastAsia="Times New Roman" w:cs="Times New Roman"/>
          <w:b w:val="0"/>
          <w:bCs w:val="0"/>
        </w:rPr>
        <w:t xml:space="preserve"> in 2025. The</w:t>
      </w:r>
      <w:r w:rsidRPr="4EF34917" w:rsidR="787BDA62">
        <w:rPr>
          <w:rFonts w:ascii="Times New Roman" w:hAnsi="Times New Roman" w:eastAsia="Times New Roman" w:cs="Times New Roman"/>
          <w:b w:val="0"/>
          <w:bCs w:val="0"/>
        </w:rPr>
        <w:t xml:space="preserve"> cash conversion cycle moved from negative 2.87 days to positive 5.19 days over the same period. It improved from 6.30</w:t>
      </w:r>
      <w:r w:rsidRPr="4EF34917" w:rsidR="579307ED">
        <w:rPr>
          <w:rFonts w:ascii="Times New Roman" w:hAnsi="Times New Roman" w:eastAsia="Times New Roman" w:cs="Times New Roman"/>
          <w:b w:val="0"/>
          <w:bCs w:val="0"/>
        </w:rPr>
        <w:t xml:space="preserve"> days in 2023, but Target still had an average gap of about five days between paying suppliers and collecting cash in 2024. </w:t>
      </w:r>
      <w:r>
        <w:br/>
      </w:r>
      <w:r>
        <w:tab/>
      </w:r>
      <w:r w:rsidRPr="4EF34917" w:rsidR="0420F914">
        <w:rPr>
          <w:rFonts w:ascii="Times New Roman" w:hAnsi="Times New Roman" w:eastAsia="Times New Roman" w:cs="Times New Roman"/>
          <w:b w:val="0"/>
          <w:bCs w:val="0"/>
        </w:rPr>
        <w:t xml:space="preserve">Taken together, these results suggest that </w:t>
      </w:r>
      <w:r w:rsidRPr="4EF34917" w:rsidR="6C9710B0">
        <w:rPr>
          <w:rFonts w:ascii="Times New Roman" w:hAnsi="Times New Roman" w:eastAsia="Times New Roman" w:cs="Times New Roman"/>
          <w:b w:val="0"/>
          <w:bCs w:val="0"/>
        </w:rPr>
        <w:t xml:space="preserve">inventory </w:t>
      </w:r>
      <w:r w:rsidRPr="4EF34917" w:rsidR="7272207C">
        <w:rPr>
          <w:rFonts w:ascii="Times New Roman" w:hAnsi="Times New Roman" w:eastAsia="Times New Roman" w:cs="Times New Roman"/>
          <w:b w:val="0"/>
          <w:bCs w:val="0"/>
        </w:rPr>
        <w:t>timing</w:t>
      </w:r>
      <w:r w:rsidRPr="4EF34917" w:rsidR="6C9710B0">
        <w:rPr>
          <w:rFonts w:ascii="Times New Roman" w:hAnsi="Times New Roman" w:eastAsia="Times New Roman" w:cs="Times New Roman"/>
          <w:b w:val="0"/>
          <w:bCs w:val="0"/>
        </w:rPr>
        <w:t xml:space="preserve"> is the main area Target should address. Better demand </w:t>
      </w:r>
      <w:r w:rsidRPr="4EF34917" w:rsidR="4F219AF9">
        <w:rPr>
          <w:rFonts w:ascii="Times New Roman" w:hAnsi="Times New Roman" w:eastAsia="Times New Roman" w:cs="Times New Roman"/>
          <w:b w:val="0"/>
          <w:bCs w:val="0"/>
        </w:rPr>
        <w:t>forecasting</w:t>
      </w:r>
      <w:r w:rsidRPr="4EF34917" w:rsidR="6C9710B0">
        <w:rPr>
          <w:rFonts w:ascii="Times New Roman" w:hAnsi="Times New Roman" w:eastAsia="Times New Roman" w:cs="Times New Roman"/>
          <w:b w:val="0"/>
          <w:bCs w:val="0"/>
        </w:rPr>
        <w:t xml:space="preserve"> and replenishment could reduce the number of </w:t>
      </w:r>
      <w:r w:rsidRPr="4EF34917" w:rsidR="60E50A2F">
        <w:rPr>
          <w:rFonts w:ascii="Times New Roman" w:hAnsi="Times New Roman" w:eastAsia="Times New Roman" w:cs="Times New Roman"/>
          <w:b w:val="0"/>
          <w:bCs w:val="0"/>
        </w:rPr>
        <w:t xml:space="preserve">days products </w:t>
      </w:r>
      <w:r w:rsidRPr="4EF34917" w:rsidR="60E50A2F">
        <w:rPr>
          <w:rFonts w:ascii="Times New Roman" w:hAnsi="Times New Roman" w:eastAsia="Times New Roman" w:cs="Times New Roman"/>
          <w:b w:val="0"/>
          <w:bCs w:val="0"/>
        </w:rPr>
        <w:t>remain</w:t>
      </w:r>
      <w:r w:rsidRPr="4EF34917" w:rsidR="60E50A2F">
        <w:rPr>
          <w:rFonts w:ascii="Times New Roman" w:hAnsi="Times New Roman" w:eastAsia="Times New Roman" w:cs="Times New Roman"/>
          <w:b w:val="0"/>
          <w:bCs w:val="0"/>
        </w:rPr>
        <w:t xml:space="preserve"> on hand. Target could also review whether its </w:t>
      </w:r>
      <w:r w:rsidRPr="4EF34917" w:rsidR="60E50A2F">
        <w:rPr>
          <w:rFonts w:ascii="Times New Roman" w:hAnsi="Times New Roman" w:eastAsia="Times New Roman" w:cs="Times New Roman"/>
          <w:b w:val="0"/>
          <w:bCs w:val="0"/>
        </w:rPr>
        <w:t>supplier</w:t>
      </w:r>
      <w:r w:rsidRPr="4EF34917" w:rsidR="60E50A2F">
        <w:rPr>
          <w:rFonts w:ascii="Times New Roman" w:hAnsi="Times New Roman" w:eastAsia="Times New Roman" w:cs="Times New Roman"/>
          <w:b w:val="0"/>
          <w:bCs w:val="0"/>
        </w:rPr>
        <w:t xml:space="preserve"> payment schedule fits its inventory cycle. Both steps would help shorten the cash conversion cycle and reduce the cash tied up in daily operations. </w:t>
      </w:r>
    </w:p>
    <w:p w:rsidR="547D4602" w:rsidP="4EF34917" w:rsidRDefault="547D4602" w14:paraId="11186AAF" w14:textId="556131A6">
      <w:pPr>
        <w:pStyle w:val="ListParagraph"/>
        <w:numPr>
          <w:ilvl w:val="0"/>
          <w:numId w:val="1"/>
        </w:numPr>
        <w:spacing w:line="480" w:lineRule="auto"/>
        <w:jc w:val="left"/>
        <w:rPr>
          <w:rFonts w:ascii="Times New Roman" w:hAnsi="Times New Roman" w:eastAsia="Times New Roman" w:cs="Times New Roman"/>
          <w:b w:val="1"/>
          <w:bCs w:val="1"/>
        </w:rPr>
      </w:pPr>
      <w:r w:rsidRPr="4EF34917" w:rsidR="1C57E300">
        <w:rPr>
          <w:rFonts w:ascii="Times New Roman" w:hAnsi="Times New Roman" w:eastAsia="Times New Roman" w:cs="Times New Roman"/>
          <w:b w:val="1"/>
          <w:bCs w:val="1"/>
        </w:rPr>
        <w:t>Debt Analysis</w:t>
      </w:r>
    </w:p>
    <w:tbl>
      <w:tblPr>
        <w:tblStyle w:val="TableNormal"/>
        <w:bidiVisual w:val="0"/>
        <w:tblW w:w="0" w:type="auto"/>
        <w:tblLook w:val="06A0" w:firstRow="1" w:lastRow="0" w:firstColumn="1" w:lastColumn="0" w:noHBand="1" w:noVBand="1"/>
      </w:tblPr>
      <w:tblGrid>
        <w:gridCol w:w="2505"/>
        <w:gridCol w:w="990"/>
        <w:gridCol w:w="1335"/>
        <w:gridCol w:w="1800"/>
        <w:gridCol w:w="1335"/>
        <w:gridCol w:w="1545"/>
      </w:tblGrid>
      <w:tr w:rsidR="4EF34917" w:rsidTr="4EF34917" w14:paraId="5B1E2A5B">
        <w:trPr>
          <w:trHeight w:val="780"/>
        </w:trPr>
        <w:tc>
          <w:tcPr>
            <w:cnfStyle w:val="001000000000" w:firstRow="0" w:lastRow="0" w:firstColumn="1" w:lastColumn="0" w:oddVBand="0" w:evenVBand="0" w:oddHBand="0" w:evenHBand="0" w:firstRowFirstColumn="0" w:firstRowLastColumn="0" w:lastRowFirstColumn="0" w:lastRowLastColumn="0"/>
            <w:tcW w:w="2505" w:type="dxa"/>
            <w:tcMar/>
          </w:tcPr>
          <w:p w:rsidR="4EF34917" w:rsidP="4EF34917" w:rsidRDefault="4EF34917" w14:paraId="4FC930DC" w14:textId="44FC620B">
            <w:pPr>
              <w:spacing w:line="480" w:lineRule="auto"/>
              <w:ind w:left="0"/>
              <w:jc w:val="left"/>
              <w:rPr>
                <w:rFonts w:ascii="Times New Roman" w:hAnsi="Times New Roman" w:eastAsia="Times New Roman" w:cs="Times New Roman"/>
                <w:b w:val="0"/>
                <w:bCs w:val="0"/>
                <w:noProof w:val="0"/>
                <w:sz w:val="24"/>
                <w:szCs w:val="24"/>
                <w:u w:val="none"/>
                <w:lang w:val="en-US"/>
              </w:rPr>
            </w:pPr>
            <w:r w:rsidRPr="4EF34917" w:rsidR="4EF34917">
              <w:rPr>
                <w:rFonts w:ascii="Times New Roman" w:hAnsi="Times New Roman" w:eastAsia="Times New Roman" w:cs="Times New Roman"/>
                <w:b w:val="0"/>
                <w:bCs w:val="0"/>
                <w:color w:val="000000" w:themeColor="text1" w:themeTint="FF" w:themeShade="FF"/>
                <w:sz w:val="24"/>
                <w:szCs w:val="24"/>
                <w:u w:val="none"/>
              </w:rPr>
              <w:t xml:space="preserve"> </w:t>
            </w:r>
            <w:r w:rsidRPr="4EF34917" w:rsidR="0927B1E0">
              <w:rPr>
                <w:rFonts w:ascii="Times New Roman" w:hAnsi="Times New Roman" w:eastAsia="Times New Roman" w:cs="Times New Roman"/>
                <w:b w:val="0"/>
                <w:bCs w:val="0"/>
                <w:noProof w:val="0"/>
                <w:sz w:val="24"/>
                <w:szCs w:val="24"/>
                <w:u w:val="none"/>
                <w:lang w:val="en-US"/>
              </w:rPr>
              <w:t>Debt</w:t>
            </w:r>
            <w:r w:rsidRPr="4EF34917" w:rsidR="0927B1E0">
              <w:rPr>
                <w:rFonts w:ascii="Times New Roman" w:hAnsi="Times New Roman" w:eastAsia="Times New Roman" w:cs="Times New Roman"/>
                <w:b w:val="0"/>
                <w:bCs w:val="0"/>
                <w:noProof w:val="0"/>
                <w:sz w:val="24"/>
                <w:szCs w:val="24"/>
                <w:u w:val="none"/>
                <w:lang w:val="en-US"/>
              </w:rPr>
              <w:t xml:space="preserve"> analysis</w:t>
            </w:r>
          </w:p>
          <w:p w:rsidR="4EF34917" w:rsidP="4EF34917" w:rsidRDefault="4EF34917" w14:paraId="5EA1E68A" w14:textId="448FA62B">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990" w:type="dxa"/>
            <w:tcMar/>
          </w:tcPr>
          <w:p w:rsidR="4EF34917" w:rsidP="4EF34917" w:rsidRDefault="4EF34917" w14:paraId="5B10505F" w14:textId="4F082BD5">
            <w:pPr>
              <w:spacing w:line="480" w:lineRule="auto"/>
              <w:ind w:left="0"/>
              <w:jc w:val="left"/>
              <w:rPr>
                <w:rFonts w:ascii="Times New Roman" w:hAnsi="Times New Roman" w:eastAsia="Times New Roman" w:cs="Times New Roman"/>
                <w:b w:val="1"/>
                <w:bCs w:val="1"/>
                <w:color w:val="000000" w:themeColor="text1" w:themeTint="FF" w:themeShade="FF"/>
                <w:sz w:val="24"/>
                <w:szCs w:val="24"/>
              </w:rPr>
            </w:pPr>
            <w:r w:rsidRPr="4EF34917" w:rsidR="4EF34917">
              <w:rPr>
                <w:rFonts w:ascii="Times New Roman" w:hAnsi="Times New Roman" w:eastAsia="Times New Roman" w:cs="Times New Roman"/>
                <w:b w:val="1"/>
                <w:bCs w:val="1"/>
                <w:color w:val="000000" w:themeColor="text1" w:themeTint="FF" w:themeShade="FF"/>
                <w:sz w:val="24"/>
                <w:szCs w:val="24"/>
              </w:rPr>
              <w:t>2020</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799372EA" w14:textId="5D7AE34D">
            <w:pPr>
              <w:spacing w:line="480" w:lineRule="auto"/>
              <w:ind w:left="0"/>
              <w:jc w:val="left"/>
              <w:rPr>
                <w:rFonts w:ascii="Times New Roman" w:hAnsi="Times New Roman" w:eastAsia="Times New Roman" w:cs="Times New Roman"/>
                <w:b w:val="1"/>
                <w:bCs w:val="1"/>
                <w:color w:val="000000" w:themeColor="text1" w:themeTint="FF" w:themeShade="FF"/>
                <w:sz w:val="24"/>
                <w:szCs w:val="24"/>
              </w:rPr>
            </w:pPr>
            <w:r w:rsidRPr="4EF34917" w:rsidR="4EF34917">
              <w:rPr>
                <w:rFonts w:ascii="Times New Roman" w:hAnsi="Times New Roman" w:eastAsia="Times New Roman" w:cs="Times New Roman"/>
                <w:b w:val="1"/>
                <w:bCs w:val="1"/>
                <w:color w:val="000000" w:themeColor="text1" w:themeTint="FF" w:themeShade="FF"/>
                <w:sz w:val="24"/>
                <w:szCs w:val="24"/>
              </w:rPr>
              <w:t>2021</w:t>
            </w:r>
          </w:p>
        </w:tc>
        <w:tc>
          <w:tcPr>
            <w:cnfStyle w:val="000000000000" w:firstRow="0" w:lastRow="0" w:firstColumn="0" w:lastColumn="0" w:oddVBand="0" w:evenVBand="0" w:oddHBand="0" w:evenHBand="0" w:firstRowFirstColumn="0" w:firstRowLastColumn="0" w:lastRowFirstColumn="0" w:lastRowLastColumn="0"/>
            <w:tcW w:w="1800" w:type="dxa"/>
            <w:tcMar/>
          </w:tcPr>
          <w:p w:rsidR="4EF34917" w:rsidP="4EF34917" w:rsidRDefault="4EF34917" w14:paraId="620A5487" w14:textId="61DEF0F3">
            <w:pPr>
              <w:spacing w:line="480" w:lineRule="auto"/>
              <w:ind w:left="0"/>
              <w:jc w:val="left"/>
              <w:rPr>
                <w:rFonts w:ascii="Times New Roman" w:hAnsi="Times New Roman" w:eastAsia="Times New Roman" w:cs="Times New Roman"/>
                <w:b w:val="1"/>
                <w:bCs w:val="1"/>
                <w:color w:val="000000" w:themeColor="text1" w:themeTint="FF" w:themeShade="FF"/>
                <w:sz w:val="24"/>
                <w:szCs w:val="24"/>
              </w:rPr>
            </w:pPr>
            <w:r w:rsidRPr="4EF34917" w:rsidR="4EF34917">
              <w:rPr>
                <w:rFonts w:ascii="Times New Roman" w:hAnsi="Times New Roman" w:eastAsia="Times New Roman" w:cs="Times New Roman"/>
                <w:b w:val="1"/>
                <w:bCs w:val="1"/>
                <w:color w:val="000000" w:themeColor="text1" w:themeTint="FF" w:themeShade="FF"/>
                <w:sz w:val="24"/>
                <w:szCs w:val="24"/>
              </w:rPr>
              <w:t>2022</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5EAA76A1" w14:textId="4E40EFD0">
            <w:pPr>
              <w:spacing w:line="480" w:lineRule="auto"/>
              <w:ind w:left="0"/>
              <w:jc w:val="left"/>
              <w:rPr>
                <w:rFonts w:ascii="Times New Roman" w:hAnsi="Times New Roman" w:eastAsia="Times New Roman" w:cs="Times New Roman"/>
                <w:b w:val="1"/>
                <w:bCs w:val="1"/>
                <w:color w:val="000000" w:themeColor="text1" w:themeTint="FF" w:themeShade="FF"/>
                <w:sz w:val="24"/>
                <w:szCs w:val="24"/>
              </w:rPr>
            </w:pPr>
            <w:r w:rsidRPr="4EF34917" w:rsidR="4EF34917">
              <w:rPr>
                <w:rFonts w:ascii="Times New Roman" w:hAnsi="Times New Roman" w:eastAsia="Times New Roman" w:cs="Times New Roman"/>
                <w:b w:val="1"/>
                <w:bCs w:val="1"/>
                <w:color w:val="000000" w:themeColor="text1" w:themeTint="FF" w:themeShade="FF"/>
                <w:sz w:val="24"/>
                <w:szCs w:val="24"/>
              </w:rPr>
              <w:t>2023</w:t>
            </w:r>
          </w:p>
        </w:tc>
        <w:tc>
          <w:tcPr>
            <w:cnfStyle w:val="000000000000" w:firstRow="0" w:lastRow="0" w:firstColumn="0" w:lastColumn="0" w:oddVBand="0" w:evenVBand="0" w:oddHBand="0" w:evenHBand="0" w:firstRowFirstColumn="0" w:firstRowLastColumn="0" w:lastRowFirstColumn="0" w:lastRowLastColumn="0"/>
            <w:tcW w:w="1545" w:type="dxa"/>
            <w:tcMar/>
          </w:tcPr>
          <w:p w:rsidR="4EF34917" w:rsidP="4EF34917" w:rsidRDefault="4EF34917" w14:paraId="030D790F" w14:textId="34FBDADA">
            <w:pPr>
              <w:spacing w:line="480" w:lineRule="auto"/>
              <w:ind w:left="0"/>
              <w:jc w:val="left"/>
              <w:rPr>
                <w:rFonts w:ascii="Times New Roman" w:hAnsi="Times New Roman" w:eastAsia="Times New Roman" w:cs="Times New Roman"/>
                <w:b w:val="1"/>
                <w:bCs w:val="1"/>
                <w:color w:val="000000" w:themeColor="text1" w:themeTint="FF" w:themeShade="FF"/>
                <w:sz w:val="24"/>
                <w:szCs w:val="24"/>
              </w:rPr>
            </w:pPr>
            <w:r w:rsidRPr="4EF34917" w:rsidR="4EF34917">
              <w:rPr>
                <w:rFonts w:ascii="Times New Roman" w:hAnsi="Times New Roman" w:eastAsia="Times New Roman" w:cs="Times New Roman"/>
                <w:b w:val="1"/>
                <w:bCs w:val="1"/>
                <w:color w:val="000000" w:themeColor="text1" w:themeTint="FF" w:themeShade="FF"/>
                <w:sz w:val="24"/>
                <w:szCs w:val="24"/>
              </w:rPr>
              <w:t>2024</w:t>
            </w:r>
          </w:p>
        </w:tc>
      </w:tr>
      <w:tr w:rsidR="4EF34917" w:rsidTr="4EF34917" w14:paraId="71AE5D80">
        <w:trPr>
          <w:trHeight w:val="300"/>
        </w:trPr>
        <w:tc>
          <w:tcPr>
            <w:cnfStyle w:val="001000000000" w:firstRow="0" w:lastRow="0" w:firstColumn="1" w:lastColumn="0" w:oddVBand="0" w:evenVBand="0" w:oddHBand="0" w:evenHBand="0" w:firstRowFirstColumn="0" w:firstRowLastColumn="0" w:lastRowFirstColumn="0" w:lastRowLastColumn="0"/>
            <w:tcW w:w="2505" w:type="dxa"/>
            <w:tcMar/>
          </w:tcPr>
          <w:p w:rsidR="4EF34917" w:rsidP="4EF34917" w:rsidRDefault="4EF34917" w14:paraId="5F85BC20" w14:textId="33FC24BB">
            <w:pPr>
              <w:spacing w:line="480" w:lineRule="auto"/>
              <w:ind w:left="0"/>
              <w:jc w:val="left"/>
              <w:rPr>
                <w:rFonts w:ascii="Times New Roman" w:hAnsi="Times New Roman" w:eastAsia="Times New Roman" w:cs="Times New Roman"/>
                <w:b w:val="1"/>
                <w:bCs w:val="1"/>
                <w:color w:val="000000" w:themeColor="text1" w:themeTint="FF" w:themeShade="FF"/>
                <w:sz w:val="24"/>
                <w:szCs w:val="24"/>
              </w:rPr>
            </w:pPr>
            <w:r w:rsidRPr="4EF34917" w:rsidR="4EF34917">
              <w:rPr>
                <w:rFonts w:ascii="Times New Roman" w:hAnsi="Times New Roman" w:eastAsia="Times New Roman" w:cs="Times New Roman"/>
                <w:b w:val="1"/>
                <w:bCs w:val="1"/>
                <w:color w:val="000000" w:themeColor="text1" w:themeTint="FF" w:themeShade="FF"/>
                <w:sz w:val="24"/>
                <w:szCs w:val="24"/>
              </w:rPr>
              <w:t>Total liabilities</w:t>
            </w:r>
          </w:p>
        </w:tc>
        <w:tc>
          <w:tcPr>
            <w:cnfStyle w:val="000000000000" w:firstRow="0" w:lastRow="0" w:firstColumn="0" w:lastColumn="0" w:oddVBand="0" w:evenVBand="0" w:oddHBand="0" w:evenHBand="0" w:firstRowFirstColumn="0" w:firstRowLastColumn="0" w:lastRowFirstColumn="0" w:lastRowLastColumn="0"/>
            <w:tcW w:w="990" w:type="dxa"/>
            <w:tcMar/>
          </w:tcPr>
          <w:p w:rsidR="4EF34917" w:rsidP="4EF34917" w:rsidRDefault="4EF34917" w14:paraId="07C316DF" w14:textId="600810B1">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36,808</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6BFC8DA7" w14:textId="5D5E01AD">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40,984</w:t>
            </w:r>
          </w:p>
        </w:tc>
        <w:tc>
          <w:tcPr>
            <w:cnfStyle w:val="000000000000" w:firstRow="0" w:lastRow="0" w:firstColumn="0" w:lastColumn="0" w:oddVBand="0" w:evenVBand="0" w:oddHBand="0" w:evenHBand="0" w:firstRowFirstColumn="0" w:firstRowLastColumn="0" w:lastRowFirstColumn="0" w:lastRowLastColumn="0"/>
            <w:tcW w:w="1800" w:type="dxa"/>
            <w:tcMar/>
          </w:tcPr>
          <w:p w:rsidR="4EF34917" w:rsidP="4EF34917" w:rsidRDefault="4EF34917" w14:paraId="00C56707" w14:textId="4B7BFCBF">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42,103</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557B31CB" w14:textId="26DAEA55">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41,924</w:t>
            </w:r>
          </w:p>
        </w:tc>
        <w:tc>
          <w:tcPr>
            <w:cnfStyle w:val="000000000000" w:firstRow="0" w:lastRow="0" w:firstColumn="0" w:lastColumn="0" w:oddVBand="0" w:evenVBand="0" w:oddHBand="0" w:evenHBand="0" w:firstRowFirstColumn="0" w:firstRowLastColumn="0" w:lastRowFirstColumn="0" w:lastRowLastColumn="0"/>
            <w:tcW w:w="1545" w:type="dxa"/>
            <w:tcMar/>
          </w:tcPr>
          <w:p w:rsidR="4EF34917" w:rsidP="4EF34917" w:rsidRDefault="4EF34917" w14:paraId="39EDC847" w14:textId="64574EB4">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43,103</w:t>
            </w:r>
          </w:p>
        </w:tc>
      </w:tr>
      <w:tr w:rsidR="4EF34917" w:rsidTr="4EF34917" w14:paraId="4816007D">
        <w:trPr>
          <w:trHeight w:val="435"/>
        </w:trPr>
        <w:tc>
          <w:tcPr>
            <w:cnfStyle w:val="001000000000" w:firstRow="0" w:lastRow="0" w:firstColumn="1" w:lastColumn="0" w:oddVBand="0" w:evenVBand="0" w:oddHBand="0" w:evenHBand="0" w:firstRowFirstColumn="0" w:firstRowLastColumn="0" w:lastRowFirstColumn="0" w:lastRowLastColumn="0"/>
            <w:tcW w:w="2505" w:type="dxa"/>
            <w:tcMar/>
          </w:tcPr>
          <w:p w:rsidR="4EF34917" w:rsidP="4EF34917" w:rsidRDefault="4EF34917" w14:paraId="0B18E727" w14:textId="70F63715">
            <w:pPr>
              <w:spacing w:line="480" w:lineRule="auto"/>
              <w:ind w:left="0"/>
              <w:jc w:val="left"/>
              <w:rPr>
                <w:rFonts w:ascii="Times New Roman" w:hAnsi="Times New Roman" w:eastAsia="Times New Roman" w:cs="Times New Roman"/>
                <w:b w:val="1"/>
                <w:bCs w:val="1"/>
                <w:color w:val="000000" w:themeColor="text1" w:themeTint="FF" w:themeShade="FF"/>
                <w:sz w:val="24"/>
                <w:szCs w:val="24"/>
              </w:rPr>
            </w:pPr>
            <w:r w:rsidRPr="4EF34917" w:rsidR="4EF34917">
              <w:rPr>
                <w:rFonts w:ascii="Times New Roman" w:hAnsi="Times New Roman" w:eastAsia="Times New Roman" w:cs="Times New Roman"/>
                <w:b w:val="1"/>
                <w:bCs w:val="1"/>
                <w:color w:val="000000" w:themeColor="text1" w:themeTint="FF" w:themeShade="FF"/>
                <w:sz w:val="24"/>
                <w:szCs w:val="24"/>
              </w:rPr>
              <w:t>Debt ratio</w:t>
            </w:r>
          </w:p>
        </w:tc>
        <w:tc>
          <w:tcPr>
            <w:cnfStyle w:val="000000000000" w:firstRow="0" w:lastRow="0" w:firstColumn="0" w:lastColumn="0" w:oddVBand="0" w:evenVBand="0" w:oddHBand="0" w:evenHBand="0" w:firstRowFirstColumn="0" w:firstRowLastColumn="0" w:lastRowFirstColumn="0" w:lastRowLastColumn="0"/>
            <w:tcW w:w="990" w:type="dxa"/>
            <w:tcMar/>
          </w:tcPr>
          <w:p w:rsidR="4EF34917" w:rsidP="4EF34917" w:rsidRDefault="4EF34917" w14:paraId="37FE883A" w14:textId="1F345949">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71.8%</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4A83FE68" w14:textId="36AD9B97">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76.2%</w:t>
            </w:r>
          </w:p>
        </w:tc>
        <w:tc>
          <w:tcPr>
            <w:cnfStyle w:val="000000000000" w:firstRow="0" w:lastRow="0" w:firstColumn="0" w:lastColumn="0" w:oddVBand="0" w:evenVBand="0" w:oddHBand="0" w:evenHBand="0" w:firstRowFirstColumn="0" w:firstRowLastColumn="0" w:lastRowFirstColumn="0" w:lastRowLastColumn="0"/>
            <w:tcW w:w="1800" w:type="dxa"/>
            <w:tcMar/>
          </w:tcPr>
          <w:p w:rsidR="4EF34917" w:rsidP="4EF34917" w:rsidRDefault="4EF34917" w14:paraId="0D104474" w14:textId="2F1D00CA">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78.9%</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76025B44" w14:textId="00D96EAE">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75.7%</w:t>
            </w:r>
          </w:p>
        </w:tc>
        <w:tc>
          <w:tcPr>
            <w:cnfStyle w:val="000000000000" w:firstRow="0" w:lastRow="0" w:firstColumn="0" w:lastColumn="0" w:oddVBand="0" w:evenVBand="0" w:oddHBand="0" w:evenHBand="0" w:firstRowFirstColumn="0" w:firstRowLastColumn="0" w:lastRowFirstColumn="0" w:lastRowLastColumn="0"/>
            <w:tcW w:w="1545" w:type="dxa"/>
            <w:tcMar/>
          </w:tcPr>
          <w:p w:rsidR="4EF34917" w:rsidP="4EF34917" w:rsidRDefault="4EF34917" w14:paraId="03DCDDF2" w14:textId="3B950E4C">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74.6%</w:t>
            </w:r>
          </w:p>
        </w:tc>
      </w:tr>
      <w:tr w:rsidR="4EF34917" w:rsidTr="4EF34917" w14:paraId="16381CA6">
        <w:trPr>
          <w:trHeight w:val="300"/>
        </w:trPr>
        <w:tc>
          <w:tcPr>
            <w:cnfStyle w:val="001000000000" w:firstRow="0" w:lastRow="0" w:firstColumn="1" w:lastColumn="0" w:oddVBand="0" w:evenVBand="0" w:oddHBand="0" w:evenHBand="0" w:firstRowFirstColumn="0" w:firstRowLastColumn="0" w:lastRowFirstColumn="0" w:lastRowLastColumn="0"/>
            <w:tcW w:w="2505" w:type="dxa"/>
            <w:tcMar/>
          </w:tcPr>
          <w:p w:rsidR="4EF34917" w:rsidP="4EF34917" w:rsidRDefault="4EF34917" w14:paraId="6CB3F123" w14:textId="53464758">
            <w:pPr>
              <w:spacing w:line="480" w:lineRule="auto"/>
              <w:ind w:left="0"/>
              <w:jc w:val="left"/>
              <w:rPr>
                <w:rFonts w:ascii="Times New Roman" w:hAnsi="Times New Roman" w:eastAsia="Times New Roman" w:cs="Times New Roman"/>
                <w:b w:val="1"/>
                <w:bCs w:val="1"/>
                <w:color w:val="000000" w:themeColor="text1" w:themeTint="FF" w:themeShade="FF"/>
                <w:sz w:val="24"/>
                <w:szCs w:val="24"/>
              </w:rPr>
            </w:pPr>
            <w:r w:rsidRPr="4EF34917" w:rsidR="4EF34917">
              <w:rPr>
                <w:rFonts w:ascii="Times New Roman" w:hAnsi="Times New Roman" w:eastAsia="Times New Roman" w:cs="Times New Roman"/>
                <w:b w:val="1"/>
                <w:bCs w:val="1"/>
                <w:color w:val="000000" w:themeColor="text1" w:themeTint="FF" w:themeShade="FF"/>
                <w:sz w:val="24"/>
                <w:szCs w:val="24"/>
              </w:rPr>
              <w:t>Short term debt ratio</w:t>
            </w:r>
          </w:p>
        </w:tc>
        <w:tc>
          <w:tcPr>
            <w:cnfStyle w:val="000000000000" w:firstRow="0" w:lastRow="0" w:firstColumn="0" w:lastColumn="0" w:oddVBand="0" w:evenVBand="0" w:oddHBand="0" w:evenHBand="0" w:firstRowFirstColumn="0" w:firstRowLastColumn="0" w:lastRowFirstColumn="0" w:lastRowLastColumn="0"/>
            <w:tcW w:w="990" w:type="dxa"/>
            <w:tcMar/>
          </w:tcPr>
          <w:p w:rsidR="4EF34917" w:rsidP="4EF34917" w:rsidRDefault="4EF34917" w14:paraId="1CAD5C12" w14:textId="07B0F5DE">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0.55</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5A647373" w14:textId="0C5C19E8">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0.53</w:t>
            </w:r>
          </w:p>
        </w:tc>
        <w:tc>
          <w:tcPr>
            <w:cnfStyle w:val="000000000000" w:firstRow="0" w:lastRow="0" w:firstColumn="0" w:lastColumn="0" w:oddVBand="0" w:evenVBand="0" w:oddHBand="0" w:evenHBand="0" w:firstRowFirstColumn="0" w:firstRowLastColumn="0" w:lastRowFirstColumn="0" w:lastRowLastColumn="0"/>
            <w:tcW w:w="1800" w:type="dxa"/>
            <w:tcMar/>
          </w:tcPr>
          <w:p w:rsidR="4EF34917" w:rsidP="4EF34917" w:rsidRDefault="4EF34917" w14:paraId="57DCFF28" w14:textId="4E654D92">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0.46</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63D881E8" w14:textId="0A9053AB">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0.46</w:t>
            </w:r>
          </w:p>
        </w:tc>
        <w:tc>
          <w:tcPr>
            <w:cnfStyle w:val="000000000000" w:firstRow="0" w:lastRow="0" w:firstColumn="0" w:lastColumn="0" w:oddVBand="0" w:evenVBand="0" w:oddHBand="0" w:evenHBand="0" w:firstRowFirstColumn="0" w:firstRowLastColumn="0" w:lastRowFirstColumn="0" w:lastRowLastColumn="0"/>
            <w:tcW w:w="1545" w:type="dxa"/>
            <w:tcMar/>
          </w:tcPr>
          <w:p w:rsidR="4EF34917" w:rsidP="4EF34917" w:rsidRDefault="4EF34917" w14:paraId="49DED3D3" w14:textId="18F22CF9">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0.48</w:t>
            </w:r>
          </w:p>
        </w:tc>
      </w:tr>
      <w:tr w:rsidR="4EF34917" w:rsidTr="4EF34917" w14:paraId="106AF340">
        <w:trPr>
          <w:trHeight w:val="300"/>
        </w:trPr>
        <w:tc>
          <w:tcPr>
            <w:cnfStyle w:val="001000000000" w:firstRow="0" w:lastRow="0" w:firstColumn="1" w:lastColumn="0" w:oddVBand="0" w:evenVBand="0" w:oddHBand="0" w:evenHBand="0" w:firstRowFirstColumn="0" w:firstRowLastColumn="0" w:lastRowFirstColumn="0" w:lastRowLastColumn="0"/>
            <w:tcW w:w="2505" w:type="dxa"/>
            <w:tcMar/>
          </w:tcPr>
          <w:p w:rsidR="4EF34917" w:rsidP="4EF34917" w:rsidRDefault="4EF34917" w14:paraId="0C635CE0" w14:textId="3FD7B424">
            <w:pPr>
              <w:spacing w:line="480" w:lineRule="auto"/>
              <w:ind w:left="0"/>
              <w:jc w:val="left"/>
              <w:rPr>
                <w:rFonts w:ascii="Times New Roman" w:hAnsi="Times New Roman" w:eastAsia="Times New Roman" w:cs="Times New Roman"/>
                <w:b w:val="1"/>
                <w:bCs w:val="1"/>
                <w:color w:val="000000" w:themeColor="text1" w:themeTint="FF" w:themeShade="FF"/>
                <w:sz w:val="24"/>
                <w:szCs w:val="24"/>
              </w:rPr>
            </w:pPr>
            <w:r w:rsidRPr="4EF34917" w:rsidR="4EF34917">
              <w:rPr>
                <w:rFonts w:ascii="Times New Roman" w:hAnsi="Times New Roman" w:eastAsia="Times New Roman" w:cs="Times New Roman"/>
                <w:b w:val="1"/>
                <w:bCs w:val="1"/>
                <w:color w:val="000000" w:themeColor="text1" w:themeTint="FF" w:themeShade="FF"/>
                <w:sz w:val="24"/>
                <w:szCs w:val="24"/>
              </w:rPr>
              <w:t>Times interest earned</w:t>
            </w:r>
          </w:p>
        </w:tc>
        <w:tc>
          <w:tcPr>
            <w:cnfStyle w:val="000000000000" w:firstRow="0" w:lastRow="0" w:firstColumn="0" w:lastColumn="0" w:oddVBand="0" w:evenVBand="0" w:oddHBand="0" w:evenHBand="0" w:firstRowFirstColumn="0" w:firstRowLastColumn="0" w:lastRowFirstColumn="0" w:lastRowLastColumn="0"/>
            <w:tcW w:w="990" w:type="dxa"/>
            <w:tcMar/>
          </w:tcPr>
          <w:p w:rsidR="4EF34917" w:rsidP="4EF34917" w:rsidRDefault="4EF34917" w14:paraId="6F3562D0" w14:textId="5941F2BC">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6.69</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624CAF68" w14:textId="0A7D31B8">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21.25</w:t>
            </w:r>
          </w:p>
        </w:tc>
        <w:tc>
          <w:tcPr>
            <w:cnfStyle w:val="000000000000" w:firstRow="0" w:lastRow="0" w:firstColumn="0" w:lastColumn="0" w:oddVBand="0" w:evenVBand="0" w:oddHBand="0" w:evenHBand="0" w:firstRowFirstColumn="0" w:firstRowLastColumn="0" w:lastRowFirstColumn="0" w:lastRowLastColumn="0"/>
            <w:tcW w:w="1800" w:type="dxa"/>
            <w:tcMar/>
          </w:tcPr>
          <w:p w:rsidR="4EF34917" w:rsidP="4EF34917" w:rsidRDefault="4EF34917" w14:paraId="78248B9F" w14:textId="22E474EE">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8.05</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085F9938" w14:textId="1BDE3C7B">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11.37</w:t>
            </w:r>
          </w:p>
        </w:tc>
        <w:tc>
          <w:tcPr>
            <w:cnfStyle w:val="000000000000" w:firstRow="0" w:lastRow="0" w:firstColumn="0" w:lastColumn="0" w:oddVBand="0" w:evenVBand="0" w:oddHBand="0" w:evenHBand="0" w:firstRowFirstColumn="0" w:firstRowLastColumn="0" w:lastRowFirstColumn="0" w:lastRowLastColumn="0"/>
            <w:tcW w:w="1545" w:type="dxa"/>
            <w:tcMar/>
          </w:tcPr>
          <w:p w:rsidR="4EF34917" w:rsidP="4EF34917" w:rsidRDefault="4EF34917" w14:paraId="6D5E35AF" w14:textId="2B9A38BA">
            <w:pPr>
              <w:spacing w:line="480" w:lineRule="auto"/>
              <w:ind w:left="0"/>
              <w:jc w:val="left"/>
              <w:rPr>
                <w:rFonts w:ascii="Times New Roman" w:hAnsi="Times New Roman" w:eastAsia="Times New Roman" w:cs="Times New Roman"/>
                <w:b w:val="0"/>
                <w:bCs w:val="0"/>
                <w:color w:val="000000" w:themeColor="text1" w:themeTint="FF" w:themeShade="FF"/>
                <w:sz w:val="24"/>
                <w:szCs w:val="24"/>
              </w:rPr>
            </w:pPr>
            <w:r w:rsidRPr="4EF34917" w:rsidR="4EF34917">
              <w:rPr>
                <w:rFonts w:ascii="Times New Roman" w:hAnsi="Times New Roman" w:eastAsia="Times New Roman" w:cs="Times New Roman"/>
                <w:b w:val="0"/>
                <w:bCs w:val="0"/>
                <w:color w:val="000000" w:themeColor="text1" w:themeTint="FF" w:themeShade="FF"/>
                <w:sz w:val="24"/>
                <w:szCs w:val="24"/>
              </w:rPr>
              <w:t>13.54</w:t>
            </w:r>
          </w:p>
        </w:tc>
      </w:tr>
    </w:tbl>
    <w:p w:rsidR="4EF34917" w:rsidP="4EF34917" w:rsidRDefault="4EF34917" w14:paraId="4CF284F6" w14:textId="7CA81ABC">
      <w:pPr>
        <w:pStyle w:val="Normal"/>
        <w:spacing w:line="480" w:lineRule="auto"/>
        <w:ind w:left="0" w:firstLine="720"/>
        <w:jc w:val="left"/>
        <w:rPr>
          <w:rFonts w:ascii="Times New Roman" w:hAnsi="Times New Roman" w:eastAsia="Times New Roman" w:cs="Times New Roman"/>
          <w:b w:val="0"/>
          <w:bCs w:val="0"/>
          <w:noProof w:val="0"/>
          <w:sz w:val="24"/>
          <w:szCs w:val="24"/>
          <w:lang w:val="en-US"/>
        </w:rPr>
      </w:pPr>
    </w:p>
    <w:p w:rsidR="7C9B5865" w:rsidP="4EF34917" w:rsidRDefault="7C9B5865" w14:paraId="46B691FE" w14:textId="0C3455F5">
      <w:pPr>
        <w:pStyle w:val="Normal"/>
        <w:spacing w:line="480" w:lineRule="auto"/>
        <w:ind w:left="0" w:firstLine="720"/>
        <w:jc w:val="left"/>
        <w:rPr>
          <w:rFonts w:ascii="Times New Roman" w:hAnsi="Times New Roman" w:eastAsia="Times New Roman" w:cs="Times New Roman"/>
          <w:b w:val="0"/>
          <w:bCs w:val="0"/>
          <w:noProof w:val="0"/>
          <w:sz w:val="24"/>
          <w:szCs w:val="24"/>
          <w:lang w:val="en-US"/>
        </w:rPr>
      </w:pPr>
      <w:r w:rsidRPr="4EF34917" w:rsidR="7C9B5865">
        <w:rPr>
          <w:rFonts w:ascii="Times New Roman" w:hAnsi="Times New Roman" w:eastAsia="Times New Roman" w:cs="Times New Roman"/>
          <w:b w:val="0"/>
          <w:bCs w:val="0"/>
          <w:noProof w:val="0"/>
          <w:sz w:val="24"/>
          <w:szCs w:val="24"/>
          <w:lang w:val="en-US"/>
        </w:rPr>
        <w:t xml:space="preserve">To calculate </w:t>
      </w:r>
      <w:r w:rsidRPr="4EF34917" w:rsidR="056C356B">
        <w:rPr>
          <w:rFonts w:ascii="Times New Roman" w:hAnsi="Times New Roman" w:eastAsia="Times New Roman" w:cs="Times New Roman"/>
          <w:b w:val="0"/>
          <w:bCs w:val="0"/>
          <w:noProof w:val="0"/>
          <w:sz w:val="24"/>
          <w:szCs w:val="24"/>
          <w:lang w:val="en-US"/>
        </w:rPr>
        <w:t>the debt</w:t>
      </w:r>
      <w:r w:rsidRPr="4EF34917" w:rsidR="7C9B5865">
        <w:rPr>
          <w:rFonts w:ascii="Times New Roman" w:hAnsi="Times New Roman" w:eastAsia="Times New Roman" w:cs="Times New Roman"/>
          <w:b w:val="0"/>
          <w:bCs w:val="0"/>
          <w:noProof w:val="0"/>
          <w:sz w:val="24"/>
          <w:szCs w:val="24"/>
          <w:lang w:val="en-US"/>
        </w:rPr>
        <w:t xml:space="preserve"> </w:t>
      </w:r>
      <w:r w:rsidRPr="4EF34917" w:rsidR="14376073">
        <w:rPr>
          <w:rFonts w:ascii="Times New Roman" w:hAnsi="Times New Roman" w:eastAsia="Times New Roman" w:cs="Times New Roman"/>
          <w:b w:val="0"/>
          <w:bCs w:val="0"/>
          <w:noProof w:val="0"/>
          <w:sz w:val="24"/>
          <w:szCs w:val="24"/>
          <w:lang w:val="en-US"/>
        </w:rPr>
        <w:t>ratio,</w:t>
      </w:r>
      <w:r w:rsidRPr="4EF34917" w:rsidR="7C9B5865">
        <w:rPr>
          <w:rFonts w:ascii="Times New Roman" w:hAnsi="Times New Roman" w:eastAsia="Times New Roman" w:cs="Times New Roman"/>
          <w:b w:val="0"/>
          <w:bCs w:val="0"/>
          <w:noProof w:val="0"/>
          <w:sz w:val="24"/>
          <w:szCs w:val="24"/>
          <w:lang w:val="en-US"/>
        </w:rPr>
        <w:t xml:space="preserve"> we divided the company's total liabilities by its total assets. Debt ratio measures the percentage of a company's assets that are financed by liability. This ratio was calculated using information from Target's filings on SEC EDGAR. </w:t>
      </w:r>
      <w:r w:rsidRPr="4EF34917" w:rsidR="7C9B5865">
        <w:rPr>
          <w:rFonts w:ascii="Times New Roman" w:hAnsi="Times New Roman" w:eastAsia="Times New Roman" w:cs="Times New Roman"/>
          <w:b w:val="0"/>
          <w:bCs w:val="0"/>
          <w:noProof w:val="0"/>
          <w:sz w:val="24"/>
          <w:szCs w:val="24"/>
          <w:lang w:val="en-US"/>
        </w:rPr>
        <w:t xml:space="preserve">To calculate total </w:t>
      </w:r>
      <w:r w:rsidRPr="4EF34917" w:rsidR="5E269487">
        <w:rPr>
          <w:rFonts w:ascii="Times New Roman" w:hAnsi="Times New Roman" w:eastAsia="Times New Roman" w:cs="Times New Roman"/>
          <w:b w:val="0"/>
          <w:bCs w:val="0"/>
          <w:noProof w:val="0"/>
          <w:sz w:val="24"/>
          <w:szCs w:val="24"/>
          <w:lang w:val="en-US"/>
        </w:rPr>
        <w:t>liabilities,</w:t>
      </w:r>
      <w:r w:rsidRPr="4EF34917" w:rsidR="7C9B5865">
        <w:rPr>
          <w:rFonts w:ascii="Times New Roman" w:hAnsi="Times New Roman" w:eastAsia="Times New Roman" w:cs="Times New Roman"/>
          <w:b w:val="0"/>
          <w:bCs w:val="0"/>
          <w:noProof w:val="0"/>
          <w:sz w:val="24"/>
          <w:szCs w:val="24"/>
          <w:lang w:val="en-US"/>
        </w:rPr>
        <w:t xml:space="preserve"> subtract the amount of stockholders’ equity from total assets.</w:t>
      </w:r>
      <w:r w:rsidRPr="4EF34917" w:rsidR="7C9B5865">
        <w:rPr>
          <w:rFonts w:ascii="Times New Roman" w:hAnsi="Times New Roman" w:eastAsia="Times New Roman" w:cs="Times New Roman"/>
          <w:b w:val="0"/>
          <w:bCs w:val="0"/>
          <w:noProof w:val="0"/>
          <w:sz w:val="24"/>
          <w:szCs w:val="24"/>
          <w:lang w:val="en-US"/>
        </w:rPr>
        <w:t xml:space="preserve"> In </w:t>
      </w:r>
      <w:r w:rsidRPr="4EF34917" w:rsidR="38582B79">
        <w:rPr>
          <w:rFonts w:ascii="Times New Roman" w:hAnsi="Times New Roman" w:eastAsia="Times New Roman" w:cs="Times New Roman"/>
          <w:b w:val="0"/>
          <w:bCs w:val="0"/>
          <w:noProof w:val="0"/>
          <w:sz w:val="24"/>
          <w:szCs w:val="24"/>
          <w:lang w:val="en-US"/>
        </w:rPr>
        <w:t>FY2020,</w:t>
      </w:r>
      <w:r w:rsidRPr="4EF34917" w:rsidR="7C9B5865">
        <w:rPr>
          <w:rFonts w:ascii="Times New Roman" w:hAnsi="Times New Roman" w:eastAsia="Times New Roman" w:cs="Times New Roman"/>
          <w:b w:val="0"/>
          <w:bCs w:val="0"/>
          <w:noProof w:val="0"/>
          <w:sz w:val="24"/>
          <w:szCs w:val="24"/>
          <w:lang w:val="en-US"/>
        </w:rPr>
        <w:t xml:space="preserve"> the ratio was 71.8% and increased to a peak of 78.9% in FY2022. The debts ratio Decline to</w:t>
      </w:r>
      <w:r w:rsidRPr="4EF34917" w:rsidR="7C9B5865">
        <w:rPr>
          <w:rFonts w:ascii="Times New Roman" w:hAnsi="Times New Roman" w:eastAsia="Times New Roman" w:cs="Times New Roman"/>
          <w:b w:val="1"/>
          <w:bCs w:val="1"/>
          <w:noProof w:val="0"/>
          <w:sz w:val="24"/>
          <w:szCs w:val="24"/>
          <w:lang w:val="en-US"/>
        </w:rPr>
        <w:t xml:space="preserve"> </w:t>
      </w:r>
      <w:r w:rsidRPr="4EF34917" w:rsidR="7C9B5865">
        <w:rPr>
          <w:rFonts w:ascii="Times New Roman" w:hAnsi="Times New Roman" w:eastAsia="Times New Roman" w:cs="Times New Roman"/>
          <w:b w:val="0"/>
          <w:bCs w:val="0"/>
          <w:noProof w:val="0"/>
          <w:sz w:val="24"/>
          <w:szCs w:val="24"/>
          <w:lang w:val="en-US"/>
        </w:rPr>
        <w:t xml:space="preserve">75.7% in FY 2023 and lowered to 74.6% in FY20 24. This increase was caused by repurchases of shares equaling </w:t>
      </w:r>
      <w:r w:rsidRPr="4EF34917" w:rsidR="7C9B5865">
        <w:rPr>
          <w:rFonts w:ascii="Times New Roman" w:hAnsi="Times New Roman" w:eastAsia="Times New Roman" w:cs="Times New Roman"/>
          <w:b w:val="0"/>
          <w:bCs w:val="0"/>
          <w:noProof w:val="0"/>
          <w:sz w:val="24"/>
          <w:szCs w:val="24"/>
          <w:lang w:val="en-US"/>
        </w:rPr>
        <w:t>$7.19 billion</w:t>
      </w:r>
      <w:r w:rsidRPr="4EF34917" w:rsidR="7C9B5865">
        <w:rPr>
          <w:rFonts w:ascii="Times New Roman" w:hAnsi="Times New Roman" w:eastAsia="Times New Roman" w:cs="Times New Roman"/>
          <w:b w:val="0"/>
          <w:bCs w:val="0"/>
          <w:noProof w:val="0"/>
          <w:sz w:val="24"/>
          <w:szCs w:val="24"/>
          <w:lang w:val="en-US"/>
        </w:rPr>
        <w:t xml:space="preserve"> in FY2021 and then there was an </w:t>
      </w:r>
      <w:r w:rsidRPr="4EF34917" w:rsidR="7C9B5865">
        <w:rPr>
          <w:rFonts w:ascii="Times New Roman" w:hAnsi="Times New Roman" w:eastAsia="Times New Roman" w:cs="Times New Roman"/>
          <w:b w:val="0"/>
          <w:bCs w:val="0"/>
          <w:noProof w:val="0"/>
          <w:sz w:val="24"/>
          <w:szCs w:val="24"/>
          <w:lang w:val="en-US"/>
        </w:rPr>
        <w:t>additional</w:t>
      </w:r>
      <w:r w:rsidRPr="4EF34917" w:rsidR="7C9B5865">
        <w:rPr>
          <w:rFonts w:ascii="Times New Roman" w:hAnsi="Times New Roman" w:eastAsia="Times New Roman" w:cs="Times New Roman"/>
          <w:b w:val="0"/>
          <w:bCs w:val="0"/>
          <w:noProof w:val="0"/>
          <w:sz w:val="24"/>
          <w:szCs w:val="24"/>
          <w:lang w:val="en-US"/>
        </w:rPr>
        <w:t xml:space="preserve"> repurchase of shares equaling </w:t>
      </w:r>
      <w:r w:rsidRPr="4EF34917" w:rsidR="7C9B5865">
        <w:rPr>
          <w:rFonts w:ascii="Times New Roman" w:hAnsi="Times New Roman" w:eastAsia="Times New Roman" w:cs="Times New Roman"/>
          <w:b w:val="0"/>
          <w:bCs w:val="0"/>
          <w:noProof w:val="0"/>
          <w:sz w:val="24"/>
          <w:szCs w:val="24"/>
          <w:lang w:val="en-US"/>
        </w:rPr>
        <w:t>$2.65 billion</w:t>
      </w:r>
      <w:r w:rsidRPr="4EF34917" w:rsidR="7C9B5865">
        <w:rPr>
          <w:rFonts w:ascii="Times New Roman" w:hAnsi="Times New Roman" w:eastAsia="Times New Roman" w:cs="Times New Roman"/>
          <w:b w:val="0"/>
          <w:bCs w:val="0"/>
          <w:noProof w:val="0"/>
          <w:sz w:val="24"/>
          <w:szCs w:val="24"/>
          <w:lang w:val="en-US"/>
        </w:rPr>
        <w:t xml:space="preserve"> in FY2022. As a result of repurchasing stocks, stockholder equity decreased, and in FY2022 this was compounded by lower net earnings. Repurchases were paused in FY2023 and started again at </w:t>
      </w:r>
      <w:r w:rsidRPr="4EF34917" w:rsidR="7C9B5865">
        <w:rPr>
          <w:rFonts w:ascii="Times New Roman" w:hAnsi="Times New Roman" w:eastAsia="Times New Roman" w:cs="Times New Roman"/>
          <w:b w:val="0"/>
          <w:bCs w:val="0"/>
          <w:noProof w:val="0"/>
          <w:sz w:val="24"/>
          <w:szCs w:val="24"/>
          <w:lang w:val="en-US"/>
        </w:rPr>
        <w:t>$1.0 billion</w:t>
      </w:r>
      <w:r w:rsidRPr="4EF34917" w:rsidR="7C9B5865">
        <w:rPr>
          <w:rFonts w:ascii="Times New Roman" w:hAnsi="Times New Roman" w:eastAsia="Times New Roman" w:cs="Times New Roman"/>
          <w:b w:val="0"/>
          <w:bCs w:val="0"/>
          <w:noProof w:val="0"/>
          <w:sz w:val="24"/>
          <w:szCs w:val="24"/>
          <w:lang w:val="en-US"/>
        </w:rPr>
        <w:t xml:space="preserve"> in FY2024, allowing equity to grow to </w:t>
      </w:r>
      <w:r w:rsidRPr="4EF34917" w:rsidR="7C9B5865">
        <w:rPr>
          <w:rFonts w:ascii="Times New Roman" w:hAnsi="Times New Roman" w:eastAsia="Times New Roman" w:cs="Times New Roman"/>
          <w:b w:val="0"/>
          <w:bCs w:val="0"/>
          <w:noProof w:val="0"/>
          <w:sz w:val="24"/>
          <w:szCs w:val="24"/>
          <w:lang w:val="en-US"/>
        </w:rPr>
        <w:t>$14.7 billion</w:t>
      </w:r>
      <w:r w:rsidRPr="4EF34917" w:rsidR="7C9B5865">
        <w:rPr>
          <w:rFonts w:ascii="Times New Roman" w:hAnsi="Times New Roman" w:eastAsia="Times New Roman" w:cs="Times New Roman"/>
          <w:b w:val="0"/>
          <w:bCs w:val="0"/>
          <w:noProof w:val="0"/>
          <w:sz w:val="24"/>
          <w:szCs w:val="24"/>
          <w:lang w:val="en-US"/>
        </w:rPr>
        <w:t>.</w:t>
      </w:r>
    </w:p>
    <w:p w:rsidR="7C9B5865" w:rsidP="4EF34917" w:rsidRDefault="7C9B5865" w14:paraId="770AD1CF" w14:textId="78AEE060">
      <w:pPr>
        <w:spacing w:line="480" w:lineRule="auto"/>
        <w:ind w:left="0" w:firstLine="720"/>
        <w:jc w:val="left"/>
        <w:rPr>
          <w:rFonts w:ascii="Times New Roman" w:hAnsi="Times New Roman" w:eastAsia="Times New Roman" w:cs="Times New Roman"/>
          <w:b w:val="0"/>
          <w:bCs w:val="0"/>
          <w:noProof w:val="0"/>
          <w:sz w:val="24"/>
          <w:szCs w:val="24"/>
          <w:lang w:val="en-US"/>
        </w:rPr>
      </w:pPr>
      <w:r w:rsidRPr="4EF34917" w:rsidR="7C9B5865">
        <w:rPr>
          <w:rFonts w:ascii="Times New Roman" w:hAnsi="Times New Roman" w:eastAsia="Times New Roman" w:cs="Times New Roman"/>
          <w:b w:val="0"/>
          <w:bCs w:val="0"/>
          <w:noProof w:val="0"/>
          <w:sz w:val="24"/>
          <w:szCs w:val="24"/>
          <w:lang w:val="en-US"/>
        </w:rPr>
        <w:t xml:space="preserve">We calculated short term debt ratio by dividing current liabilities by total liabilities. This measures the share of obligations that are due within one year. Target’s short-term ratio </w:t>
      </w:r>
      <w:r w:rsidRPr="4EF34917" w:rsidR="006A66FC">
        <w:rPr>
          <w:rFonts w:ascii="Times New Roman" w:hAnsi="Times New Roman" w:eastAsia="Times New Roman" w:cs="Times New Roman"/>
          <w:b w:val="0"/>
          <w:bCs w:val="0"/>
          <w:noProof w:val="0"/>
          <w:sz w:val="24"/>
          <w:szCs w:val="24"/>
          <w:lang w:val="en-US"/>
        </w:rPr>
        <w:t>declines</w:t>
      </w:r>
      <w:r w:rsidRPr="4EF34917" w:rsidR="7C9B5865">
        <w:rPr>
          <w:rFonts w:ascii="Times New Roman" w:hAnsi="Times New Roman" w:eastAsia="Times New Roman" w:cs="Times New Roman"/>
          <w:b w:val="0"/>
          <w:bCs w:val="0"/>
          <w:noProof w:val="0"/>
          <w:sz w:val="24"/>
          <w:szCs w:val="24"/>
          <w:lang w:val="en-US"/>
        </w:rPr>
        <w:t xml:space="preserve"> from 54.7% in FY2020 to 46.0% in FY2023. During this time, long term debt increased from </w:t>
      </w:r>
      <w:r w:rsidRPr="4EF34917" w:rsidR="7C9B5865">
        <w:rPr>
          <w:rFonts w:ascii="Times New Roman" w:hAnsi="Times New Roman" w:eastAsia="Times New Roman" w:cs="Times New Roman"/>
          <w:b w:val="0"/>
          <w:bCs w:val="0"/>
          <w:noProof w:val="0"/>
          <w:sz w:val="24"/>
          <w:szCs w:val="24"/>
          <w:lang w:val="en-US"/>
        </w:rPr>
        <w:t>$11.5 billion</w:t>
      </w:r>
      <w:r w:rsidRPr="4EF34917" w:rsidR="7C9B5865">
        <w:rPr>
          <w:rFonts w:ascii="Times New Roman" w:hAnsi="Times New Roman" w:eastAsia="Times New Roman" w:cs="Times New Roman"/>
          <w:b w:val="0"/>
          <w:bCs w:val="0"/>
          <w:noProof w:val="0"/>
          <w:sz w:val="24"/>
          <w:szCs w:val="24"/>
          <w:lang w:val="en-US"/>
        </w:rPr>
        <w:t xml:space="preserve"> to a peak of </w:t>
      </w:r>
      <w:r w:rsidRPr="4EF34917" w:rsidR="7C9B5865">
        <w:rPr>
          <w:rFonts w:ascii="Times New Roman" w:hAnsi="Times New Roman" w:eastAsia="Times New Roman" w:cs="Times New Roman"/>
          <w:b w:val="0"/>
          <w:bCs w:val="0"/>
          <w:noProof w:val="0"/>
          <w:sz w:val="24"/>
          <w:szCs w:val="24"/>
          <w:lang w:val="en-US"/>
        </w:rPr>
        <w:t>$16.0 billion</w:t>
      </w:r>
      <w:r w:rsidRPr="4EF34917" w:rsidR="7C9B5865">
        <w:rPr>
          <w:rFonts w:ascii="Times New Roman" w:hAnsi="Times New Roman" w:eastAsia="Times New Roman" w:cs="Times New Roman"/>
          <w:b w:val="0"/>
          <w:bCs w:val="0"/>
          <w:noProof w:val="0"/>
          <w:sz w:val="24"/>
          <w:szCs w:val="24"/>
          <w:lang w:val="en-US"/>
        </w:rPr>
        <w:t xml:space="preserve"> in FY2022, making Target's maturity profile longer. The ratio increased to 48.3% in FY2024 because </w:t>
      </w:r>
      <w:r w:rsidRPr="4EF34917" w:rsidR="7C9B5865">
        <w:rPr>
          <w:rFonts w:ascii="Times New Roman" w:hAnsi="Times New Roman" w:eastAsia="Times New Roman" w:cs="Times New Roman"/>
          <w:b w:val="0"/>
          <w:bCs w:val="0"/>
          <w:noProof w:val="0"/>
          <w:sz w:val="24"/>
          <w:szCs w:val="24"/>
          <w:lang w:val="en-US"/>
        </w:rPr>
        <w:t>$1.6 billion</w:t>
      </w:r>
      <w:r w:rsidRPr="4EF34917" w:rsidR="7C9B5865">
        <w:rPr>
          <w:rFonts w:ascii="Times New Roman" w:hAnsi="Times New Roman" w:eastAsia="Times New Roman" w:cs="Times New Roman"/>
          <w:b w:val="0"/>
          <w:bCs w:val="0"/>
          <w:noProof w:val="0"/>
          <w:sz w:val="24"/>
          <w:szCs w:val="24"/>
          <w:lang w:val="en-US"/>
        </w:rPr>
        <w:t xml:space="preserve"> of </w:t>
      </w:r>
      <w:r w:rsidRPr="4EF34917" w:rsidR="19826202">
        <w:rPr>
          <w:rFonts w:ascii="Times New Roman" w:hAnsi="Times New Roman" w:eastAsia="Times New Roman" w:cs="Times New Roman"/>
          <w:b w:val="0"/>
          <w:bCs w:val="0"/>
          <w:noProof w:val="0"/>
          <w:sz w:val="24"/>
          <w:szCs w:val="24"/>
          <w:lang w:val="en-US"/>
        </w:rPr>
        <w:t>long-term</w:t>
      </w:r>
      <w:r w:rsidRPr="4EF34917" w:rsidR="7C9B5865">
        <w:rPr>
          <w:rFonts w:ascii="Times New Roman" w:hAnsi="Times New Roman" w:eastAsia="Times New Roman" w:cs="Times New Roman"/>
          <w:b w:val="0"/>
          <w:bCs w:val="0"/>
          <w:noProof w:val="0"/>
          <w:sz w:val="24"/>
          <w:szCs w:val="24"/>
          <w:lang w:val="en-US"/>
        </w:rPr>
        <w:t xml:space="preserve"> debt was reclassified as current maturity.</w:t>
      </w:r>
    </w:p>
    <w:p w:rsidR="7C9B5865" w:rsidP="4EF34917" w:rsidRDefault="7C9B5865" w14:paraId="3A691060" w14:textId="43A71C81">
      <w:pPr>
        <w:spacing w:line="480" w:lineRule="auto"/>
        <w:ind w:left="0" w:firstLine="720"/>
        <w:jc w:val="left"/>
      </w:pPr>
      <w:r w:rsidRPr="4EF34917" w:rsidR="7C9B5865">
        <w:rPr>
          <w:rFonts w:ascii="Times New Roman" w:hAnsi="Times New Roman" w:eastAsia="Times New Roman" w:cs="Times New Roman"/>
          <w:b w:val="0"/>
          <w:bCs w:val="0"/>
          <w:noProof w:val="0"/>
          <w:sz w:val="24"/>
          <w:szCs w:val="24"/>
          <w:lang w:val="en-US"/>
        </w:rPr>
        <w:t>We calculated time interest earned by dividing operating income by net interest expense. This measures</w:t>
      </w:r>
      <w:r w:rsidRPr="4EF34917" w:rsidR="577E1528">
        <w:rPr>
          <w:rFonts w:ascii="Times New Roman" w:hAnsi="Times New Roman" w:eastAsia="Times New Roman" w:cs="Times New Roman"/>
          <w:b w:val="0"/>
          <w:bCs w:val="0"/>
          <w:noProof w:val="0"/>
          <w:sz w:val="24"/>
          <w:szCs w:val="24"/>
          <w:lang w:val="en-US"/>
        </w:rPr>
        <w:t xml:space="preserve"> Target’s</w:t>
      </w:r>
      <w:r w:rsidRPr="4EF34917" w:rsidR="7C9B5865">
        <w:rPr>
          <w:rFonts w:ascii="Times New Roman" w:hAnsi="Times New Roman" w:eastAsia="Times New Roman" w:cs="Times New Roman"/>
          <w:b w:val="0"/>
          <w:bCs w:val="0"/>
          <w:noProof w:val="0"/>
          <w:sz w:val="24"/>
          <w:szCs w:val="24"/>
          <w:lang w:val="en-US"/>
        </w:rPr>
        <w:t xml:space="preserve"> ability to pay</w:t>
      </w:r>
      <w:r w:rsidRPr="4EF34917" w:rsidR="1D3ECE92">
        <w:rPr>
          <w:rFonts w:ascii="Times New Roman" w:hAnsi="Times New Roman" w:eastAsia="Times New Roman" w:cs="Times New Roman"/>
          <w:b w:val="0"/>
          <w:bCs w:val="0"/>
          <w:noProof w:val="0"/>
          <w:sz w:val="24"/>
          <w:szCs w:val="24"/>
          <w:lang w:val="en-US"/>
        </w:rPr>
        <w:t xml:space="preserve"> </w:t>
      </w:r>
      <w:r w:rsidRPr="4EF34917" w:rsidR="555B6DEF">
        <w:rPr>
          <w:rFonts w:ascii="Times New Roman" w:hAnsi="Times New Roman" w:eastAsia="Times New Roman" w:cs="Times New Roman"/>
          <w:b w:val="0"/>
          <w:bCs w:val="0"/>
          <w:noProof w:val="0"/>
          <w:sz w:val="24"/>
          <w:szCs w:val="24"/>
          <w:lang w:val="en-US"/>
        </w:rPr>
        <w:t>interest</w:t>
      </w:r>
      <w:r w:rsidRPr="4EF34917" w:rsidR="7C9B5865">
        <w:rPr>
          <w:rFonts w:ascii="Times New Roman" w:hAnsi="Times New Roman" w:eastAsia="Times New Roman" w:cs="Times New Roman"/>
          <w:b w:val="0"/>
          <w:bCs w:val="0"/>
          <w:noProof w:val="0"/>
          <w:sz w:val="24"/>
          <w:szCs w:val="24"/>
          <w:lang w:val="en-US"/>
        </w:rPr>
        <w:t xml:space="preserve"> on its debt. The coverage was 6.69 times 21.25 times, 8.05 times, 11.37 times, and 13.54 times for the time span of FY20 20 FY20 24. FY20 20 net expenses included a </w:t>
      </w:r>
      <w:r w:rsidRPr="4EF34917" w:rsidR="79D9090C">
        <w:rPr>
          <w:rFonts w:ascii="Times New Roman" w:hAnsi="Times New Roman" w:eastAsia="Times New Roman" w:cs="Times New Roman"/>
          <w:b w:val="0"/>
          <w:bCs w:val="0"/>
          <w:noProof w:val="0"/>
          <w:sz w:val="24"/>
          <w:szCs w:val="24"/>
          <w:lang w:val="en-US"/>
        </w:rPr>
        <w:t>one-time</w:t>
      </w:r>
      <w:r w:rsidRPr="4EF34917" w:rsidR="7C9B5865">
        <w:rPr>
          <w:rFonts w:ascii="Times New Roman" w:hAnsi="Times New Roman" w:eastAsia="Times New Roman" w:cs="Times New Roman"/>
          <w:b w:val="0"/>
          <w:bCs w:val="0"/>
          <w:noProof w:val="0"/>
          <w:sz w:val="24"/>
          <w:szCs w:val="24"/>
          <w:lang w:val="en-US"/>
        </w:rPr>
        <w:t xml:space="preserve"> charge of $512 million As a result of early repayment on a </w:t>
      </w:r>
      <w:r w:rsidRPr="4EF34917" w:rsidR="110948B9">
        <w:rPr>
          <w:rFonts w:ascii="Times New Roman" w:hAnsi="Times New Roman" w:eastAsia="Times New Roman" w:cs="Times New Roman"/>
          <w:b w:val="0"/>
          <w:bCs w:val="0"/>
          <w:noProof w:val="0"/>
          <w:sz w:val="24"/>
          <w:szCs w:val="24"/>
          <w:lang w:val="en-US"/>
        </w:rPr>
        <w:t>debt.</w:t>
      </w:r>
      <w:r w:rsidRPr="4EF34917" w:rsidR="7C9B5865">
        <w:rPr>
          <w:rFonts w:ascii="Times New Roman" w:hAnsi="Times New Roman" w:eastAsia="Times New Roman" w:cs="Times New Roman"/>
          <w:b w:val="0"/>
          <w:bCs w:val="0"/>
          <w:noProof w:val="0"/>
          <w:sz w:val="24"/>
          <w:szCs w:val="24"/>
          <w:lang w:val="en-US"/>
        </w:rPr>
        <w:t xml:space="preserve"> Excluding this charge, coverage was about 14.1 times. The FY2022 decline shows operating income falling from </w:t>
      </w:r>
      <w:r w:rsidRPr="4EF34917" w:rsidR="7C9B5865">
        <w:rPr>
          <w:rFonts w:ascii="Times New Roman" w:hAnsi="Times New Roman" w:eastAsia="Times New Roman" w:cs="Times New Roman"/>
          <w:b w:val="0"/>
          <w:bCs w:val="0"/>
          <w:noProof w:val="0"/>
          <w:sz w:val="24"/>
          <w:szCs w:val="24"/>
          <w:lang w:val="en-US"/>
        </w:rPr>
        <w:t>$8.9 billion</w:t>
      </w:r>
      <w:r w:rsidRPr="4EF34917" w:rsidR="7C9B5865">
        <w:rPr>
          <w:rFonts w:ascii="Times New Roman" w:hAnsi="Times New Roman" w:eastAsia="Times New Roman" w:cs="Times New Roman"/>
          <w:b w:val="0"/>
          <w:bCs w:val="0"/>
          <w:noProof w:val="0"/>
          <w:sz w:val="24"/>
          <w:szCs w:val="24"/>
          <w:lang w:val="en-US"/>
        </w:rPr>
        <w:t xml:space="preserve"> to </w:t>
      </w:r>
      <w:r w:rsidRPr="4EF34917" w:rsidR="7C9B5865">
        <w:rPr>
          <w:rFonts w:ascii="Times New Roman" w:hAnsi="Times New Roman" w:eastAsia="Times New Roman" w:cs="Times New Roman"/>
          <w:b w:val="0"/>
          <w:bCs w:val="0"/>
          <w:noProof w:val="0"/>
          <w:sz w:val="24"/>
          <w:szCs w:val="24"/>
          <w:lang w:val="en-US"/>
        </w:rPr>
        <w:t>$3.8 billion</w:t>
      </w:r>
      <w:r w:rsidRPr="4EF34917" w:rsidR="7C9B5865">
        <w:rPr>
          <w:rFonts w:ascii="Times New Roman" w:hAnsi="Times New Roman" w:eastAsia="Times New Roman" w:cs="Times New Roman"/>
          <w:b w:val="0"/>
          <w:bCs w:val="0"/>
          <w:noProof w:val="0"/>
          <w:sz w:val="24"/>
          <w:szCs w:val="24"/>
          <w:lang w:val="en-US"/>
        </w:rPr>
        <w:t xml:space="preserve"> caused by inventory markdowns. During this time interest </w:t>
      </w:r>
      <w:r w:rsidRPr="4EF34917" w:rsidR="451FBDA3">
        <w:rPr>
          <w:rFonts w:ascii="Times New Roman" w:hAnsi="Times New Roman" w:eastAsia="Times New Roman" w:cs="Times New Roman"/>
          <w:b w:val="0"/>
          <w:bCs w:val="0"/>
          <w:noProof w:val="0"/>
          <w:sz w:val="24"/>
          <w:szCs w:val="24"/>
          <w:lang w:val="en-US"/>
        </w:rPr>
        <w:t>expenses</w:t>
      </w:r>
      <w:r w:rsidRPr="4EF34917" w:rsidR="7C9B5865">
        <w:rPr>
          <w:rFonts w:ascii="Times New Roman" w:hAnsi="Times New Roman" w:eastAsia="Times New Roman" w:cs="Times New Roman"/>
          <w:b w:val="0"/>
          <w:bCs w:val="0"/>
          <w:noProof w:val="0"/>
          <w:sz w:val="24"/>
          <w:szCs w:val="24"/>
          <w:lang w:val="en-US"/>
        </w:rPr>
        <w:t xml:space="preserve"> stayed about the same. Coverage improved each year since reaching 13.54 times in FY2024.</w:t>
      </w:r>
    </w:p>
    <w:p w:rsidR="7C9B5865" w:rsidP="4EF34917" w:rsidRDefault="7C9B5865" w14:paraId="578FE20D" w14:textId="47968DEC">
      <w:pPr>
        <w:spacing w:line="480" w:lineRule="auto"/>
        <w:ind w:left="0" w:firstLine="720"/>
        <w:jc w:val="left"/>
        <w:rPr>
          <w:rFonts w:ascii="Times New Roman" w:hAnsi="Times New Roman" w:eastAsia="Times New Roman" w:cs="Times New Roman"/>
          <w:b w:val="0"/>
          <w:bCs w:val="0"/>
          <w:noProof w:val="0"/>
          <w:sz w:val="24"/>
          <w:szCs w:val="24"/>
          <w:lang w:val="en-US"/>
        </w:rPr>
      </w:pPr>
      <w:r w:rsidRPr="4EF34917" w:rsidR="7C9B5865">
        <w:rPr>
          <w:rFonts w:ascii="Times New Roman" w:hAnsi="Times New Roman" w:eastAsia="Times New Roman" w:cs="Times New Roman"/>
          <w:b w:val="0"/>
          <w:bCs w:val="0"/>
          <w:noProof w:val="0"/>
          <w:sz w:val="24"/>
          <w:szCs w:val="24"/>
          <w:lang w:val="en-US"/>
        </w:rPr>
        <w:t xml:space="preserve">Target's goal should be to </w:t>
      </w:r>
      <w:r w:rsidRPr="4EF34917" w:rsidR="7C9B5865">
        <w:rPr>
          <w:rFonts w:ascii="Times New Roman" w:hAnsi="Times New Roman" w:eastAsia="Times New Roman" w:cs="Times New Roman"/>
          <w:b w:val="0"/>
          <w:bCs w:val="0"/>
          <w:noProof w:val="0"/>
          <w:sz w:val="24"/>
          <w:szCs w:val="24"/>
          <w:lang w:val="en-US"/>
        </w:rPr>
        <w:t>maintain</w:t>
      </w:r>
      <w:r w:rsidRPr="4EF34917" w:rsidR="7C9B5865">
        <w:rPr>
          <w:rFonts w:ascii="Times New Roman" w:hAnsi="Times New Roman" w:eastAsia="Times New Roman" w:cs="Times New Roman"/>
          <w:b w:val="0"/>
          <w:bCs w:val="0"/>
          <w:noProof w:val="0"/>
          <w:sz w:val="24"/>
          <w:szCs w:val="24"/>
          <w:lang w:val="en-US"/>
        </w:rPr>
        <w:t xml:space="preserve"> </w:t>
      </w:r>
      <w:r w:rsidRPr="4EF34917" w:rsidR="7C9B5865">
        <w:rPr>
          <w:rFonts w:ascii="Times New Roman" w:hAnsi="Times New Roman" w:eastAsia="Times New Roman" w:cs="Times New Roman"/>
          <w:b w:val="0"/>
          <w:bCs w:val="0"/>
          <w:noProof w:val="0"/>
          <w:sz w:val="24"/>
          <w:szCs w:val="24"/>
          <w:lang w:val="en-US"/>
        </w:rPr>
        <w:t>times</w:t>
      </w:r>
      <w:r w:rsidRPr="4EF34917" w:rsidR="7C9B5865">
        <w:rPr>
          <w:rFonts w:ascii="Times New Roman" w:hAnsi="Times New Roman" w:eastAsia="Times New Roman" w:cs="Times New Roman"/>
          <w:b w:val="0"/>
          <w:bCs w:val="0"/>
          <w:noProof w:val="0"/>
          <w:sz w:val="24"/>
          <w:szCs w:val="24"/>
          <w:lang w:val="en-US"/>
        </w:rPr>
        <w:t xml:space="preserve"> interest earned above about 10 times. </w:t>
      </w:r>
      <w:r w:rsidRPr="4EF34917" w:rsidR="7C9B5865">
        <w:rPr>
          <w:rFonts w:ascii="Times New Roman" w:hAnsi="Times New Roman" w:eastAsia="Times New Roman" w:cs="Times New Roman"/>
          <w:b w:val="0"/>
          <w:bCs w:val="0"/>
          <w:noProof w:val="0"/>
          <w:sz w:val="24"/>
          <w:szCs w:val="24"/>
          <w:lang w:val="en-US"/>
        </w:rPr>
        <w:t xml:space="preserve">Target should also refinance </w:t>
      </w:r>
      <w:r w:rsidRPr="4EF34917" w:rsidR="7C9B5865">
        <w:rPr>
          <w:rFonts w:ascii="Times New Roman" w:hAnsi="Times New Roman" w:eastAsia="Times New Roman" w:cs="Times New Roman"/>
          <w:b w:val="0"/>
          <w:bCs w:val="0"/>
          <w:noProof w:val="0"/>
          <w:sz w:val="24"/>
          <w:szCs w:val="24"/>
          <w:lang w:val="en-US"/>
        </w:rPr>
        <w:t>$1.6 billion</w:t>
      </w:r>
      <w:r w:rsidRPr="4EF34917" w:rsidR="7C9B5865">
        <w:rPr>
          <w:rFonts w:ascii="Times New Roman" w:hAnsi="Times New Roman" w:eastAsia="Times New Roman" w:cs="Times New Roman"/>
          <w:b w:val="0"/>
          <w:bCs w:val="0"/>
          <w:noProof w:val="0"/>
          <w:sz w:val="24"/>
          <w:szCs w:val="24"/>
          <w:lang w:val="en-US"/>
        </w:rPr>
        <w:t xml:space="preserve"> of </w:t>
      </w:r>
      <w:r w:rsidRPr="4EF34917" w:rsidR="0453B529">
        <w:rPr>
          <w:rFonts w:ascii="Times New Roman" w:hAnsi="Times New Roman" w:eastAsia="Times New Roman" w:cs="Times New Roman"/>
          <w:b w:val="0"/>
          <w:bCs w:val="0"/>
          <w:noProof w:val="0"/>
          <w:sz w:val="24"/>
          <w:szCs w:val="24"/>
          <w:lang w:val="en-US"/>
        </w:rPr>
        <w:t>short-term</w:t>
      </w:r>
      <w:r w:rsidRPr="4EF34917" w:rsidR="7C9B5865">
        <w:rPr>
          <w:rFonts w:ascii="Times New Roman" w:hAnsi="Times New Roman" w:eastAsia="Times New Roman" w:cs="Times New Roman"/>
          <w:b w:val="0"/>
          <w:bCs w:val="0"/>
          <w:noProof w:val="0"/>
          <w:sz w:val="24"/>
          <w:szCs w:val="24"/>
          <w:lang w:val="en-US"/>
        </w:rPr>
        <w:t xml:space="preserve"> debt before they decide to repurchase a large number of shares.</w:t>
      </w:r>
      <w:r w:rsidRPr="4EF34917" w:rsidR="7C9B5865">
        <w:rPr>
          <w:rFonts w:ascii="Times New Roman" w:hAnsi="Times New Roman" w:eastAsia="Times New Roman" w:cs="Times New Roman"/>
          <w:b w:val="0"/>
          <w:bCs w:val="0"/>
          <w:noProof w:val="0"/>
          <w:sz w:val="24"/>
          <w:szCs w:val="24"/>
          <w:lang w:val="en-US"/>
        </w:rPr>
        <w:t xml:space="preserve"> This would help a continue the decrease in its debt ratio and stop short term debt ratio from increasing.</w:t>
      </w:r>
    </w:p>
    <w:p w:rsidR="4EF34917" w:rsidP="4EF34917" w:rsidRDefault="4EF34917" w14:paraId="50D6495C" w14:textId="3179FD41">
      <w:pPr>
        <w:pStyle w:val="Normal"/>
        <w:spacing w:line="480" w:lineRule="auto"/>
        <w:ind w:left="0"/>
        <w:jc w:val="left"/>
        <w:rPr>
          <w:rFonts w:ascii="Times New Roman" w:hAnsi="Times New Roman" w:eastAsia="Times New Roman" w:cs="Times New Roman"/>
          <w:b w:val="1"/>
          <w:bCs w:val="1"/>
          <w:highlight w:val="yellow"/>
        </w:rPr>
      </w:pPr>
    </w:p>
    <w:p w:rsidR="547D4602" w:rsidP="0C022DB6" w:rsidRDefault="547D4602" w14:paraId="72B078E0" w14:textId="1621073C">
      <w:pPr>
        <w:pStyle w:val="ListParagraph"/>
        <w:numPr>
          <w:ilvl w:val="0"/>
          <w:numId w:val="1"/>
        </w:numPr>
        <w:spacing w:line="480" w:lineRule="auto"/>
        <w:jc w:val="left"/>
        <w:rPr>
          <w:rFonts w:ascii="Times New Roman" w:hAnsi="Times New Roman" w:eastAsia="Times New Roman" w:cs="Times New Roman"/>
          <w:b w:val="1"/>
          <w:bCs w:val="1"/>
        </w:rPr>
      </w:pPr>
      <w:r w:rsidRPr="4EF34917" w:rsidR="27FD974A">
        <w:rPr>
          <w:rFonts w:ascii="Times New Roman" w:hAnsi="Times New Roman" w:eastAsia="Times New Roman" w:cs="Times New Roman"/>
          <w:b w:val="1"/>
          <w:bCs w:val="1"/>
        </w:rPr>
        <w:t>Profitability</w:t>
      </w:r>
      <w:r w:rsidRPr="4EF34917" w:rsidR="27FD974A">
        <w:rPr>
          <w:rFonts w:ascii="Times New Roman" w:hAnsi="Times New Roman" w:eastAsia="Times New Roman" w:cs="Times New Roman"/>
          <w:b w:val="1"/>
          <w:bCs w:val="1"/>
        </w:rPr>
        <w:t xml:space="preserve"> Analysis</w:t>
      </w:r>
    </w:p>
    <w:tbl>
      <w:tblPr>
        <w:tblStyle w:val="TableNormal"/>
        <w:bidiVisual w:val="0"/>
        <w:tblW w:w="0" w:type="auto"/>
        <w:tblLook w:val="06A0" w:firstRow="1" w:lastRow="0" w:firstColumn="1" w:lastColumn="0" w:noHBand="1" w:noVBand="1"/>
      </w:tblPr>
      <w:tblGrid>
        <w:gridCol w:w="3147"/>
        <w:gridCol w:w="1211"/>
        <w:gridCol w:w="1211"/>
        <w:gridCol w:w="1211"/>
        <w:gridCol w:w="1211"/>
        <w:gridCol w:w="1211"/>
      </w:tblGrid>
      <w:tr w:rsidR="4EF34917" w:rsidTr="4EF34917" w14:paraId="1B124CAA">
        <w:trPr>
          <w:trHeight w:val="375"/>
        </w:trPr>
        <w:tc>
          <w:tcPr>
            <w:tcW w:w="3147" w:type="dxa"/>
            <w:tcBorders>
              <w:top w:val="nil"/>
              <w:left w:val="nil"/>
              <w:bottom w:val="nil"/>
              <w:right w:val="nil"/>
            </w:tcBorders>
            <w:tcMar>
              <w:top w:w="15" w:type="dxa"/>
              <w:left w:w="15" w:type="dxa"/>
              <w:right w:w="15" w:type="dxa"/>
            </w:tcMar>
            <w:vAlign w:val="bottom"/>
          </w:tcPr>
          <w:p w:rsidR="4EF34917" w:rsidP="4EF34917" w:rsidRDefault="4EF34917" w14:paraId="1A193157" w14:textId="21098792">
            <w:pPr>
              <w:spacing w:before="0" w:beforeAutospacing="off" w:after="0" w:afterAutospacing="off"/>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8"/>
                <w:szCs w:val="28"/>
                <w:u w:val="none"/>
              </w:rPr>
              <w:t>Profitability Ratios</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59CEFD58" w14:textId="7836941F">
            <w:pPr>
              <w:spacing w:before="0" w:beforeAutospacing="off" w:after="0" w:afterAutospacing="off"/>
              <w:jc w:val="right"/>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2020</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1C45D9D7" w14:textId="05275747">
            <w:pPr>
              <w:spacing w:before="0" w:beforeAutospacing="off" w:after="0" w:afterAutospacing="off"/>
              <w:jc w:val="right"/>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2021</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5EE27304" w14:textId="5FF329EA">
            <w:pPr>
              <w:spacing w:before="0" w:beforeAutospacing="off" w:after="0" w:afterAutospacing="off"/>
              <w:jc w:val="right"/>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2022</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54205EDE" w14:textId="62434E4B">
            <w:pPr>
              <w:spacing w:before="0" w:beforeAutospacing="off" w:after="0" w:afterAutospacing="off"/>
              <w:jc w:val="right"/>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2023</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38B6C3CD" w14:textId="408D5CD8">
            <w:pPr>
              <w:spacing w:before="0" w:beforeAutospacing="off" w:after="0" w:afterAutospacing="off"/>
              <w:jc w:val="right"/>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2024</w:t>
            </w:r>
          </w:p>
        </w:tc>
      </w:tr>
      <w:tr w:rsidR="4EF34917" w:rsidTr="4EF34917" w14:paraId="6552C2B7">
        <w:trPr>
          <w:trHeight w:val="315"/>
        </w:trPr>
        <w:tc>
          <w:tcPr>
            <w:tcW w:w="3147" w:type="dxa"/>
            <w:tcBorders>
              <w:top w:val="nil"/>
              <w:left w:val="nil"/>
              <w:bottom w:val="nil"/>
              <w:right w:val="nil"/>
            </w:tcBorders>
            <w:tcMar>
              <w:top w:w="15" w:type="dxa"/>
              <w:left w:w="15" w:type="dxa"/>
              <w:right w:w="15" w:type="dxa"/>
            </w:tcMar>
            <w:vAlign w:val="bottom"/>
          </w:tcPr>
          <w:p w:rsidR="4EF34917" w:rsidRDefault="4EF34917" w14:paraId="0FAEB11D" w14:textId="3B4F4F97"/>
        </w:tc>
        <w:tc>
          <w:tcPr>
            <w:tcW w:w="1211" w:type="dxa"/>
            <w:tcBorders>
              <w:top w:val="nil"/>
              <w:left w:val="nil"/>
              <w:bottom w:val="nil"/>
              <w:right w:val="nil"/>
            </w:tcBorders>
            <w:tcMar>
              <w:top w:w="15" w:type="dxa"/>
              <w:left w:w="15" w:type="dxa"/>
              <w:right w:w="15" w:type="dxa"/>
            </w:tcMar>
            <w:vAlign w:val="bottom"/>
          </w:tcPr>
          <w:p w:rsidR="4EF34917" w:rsidRDefault="4EF34917" w14:paraId="35983F2C" w14:textId="6EA15EC7"/>
        </w:tc>
        <w:tc>
          <w:tcPr>
            <w:tcW w:w="1211" w:type="dxa"/>
            <w:tcBorders>
              <w:top w:val="nil"/>
              <w:left w:val="nil"/>
              <w:bottom w:val="nil"/>
              <w:right w:val="nil"/>
            </w:tcBorders>
            <w:tcMar>
              <w:top w:w="15" w:type="dxa"/>
              <w:left w:w="15" w:type="dxa"/>
              <w:right w:w="15" w:type="dxa"/>
            </w:tcMar>
            <w:vAlign w:val="bottom"/>
          </w:tcPr>
          <w:p w:rsidR="4EF34917" w:rsidRDefault="4EF34917" w14:paraId="04C3B143" w14:textId="1C7D7BE4"/>
        </w:tc>
        <w:tc>
          <w:tcPr>
            <w:tcW w:w="1211" w:type="dxa"/>
            <w:tcBorders>
              <w:top w:val="nil"/>
              <w:left w:val="nil"/>
              <w:bottom w:val="nil"/>
              <w:right w:val="nil"/>
            </w:tcBorders>
            <w:tcMar>
              <w:top w:w="15" w:type="dxa"/>
              <w:left w:w="15" w:type="dxa"/>
              <w:right w:w="15" w:type="dxa"/>
            </w:tcMar>
            <w:vAlign w:val="bottom"/>
          </w:tcPr>
          <w:p w:rsidR="4EF34917" w:rsidRDefault="4EF34917" w14:paraId="0BD242AD" w14:textId="3222F147"/>
        </w:tc>
        <w:tc>
          <w:tcPr>
            <w:tcW w:w="1211" w:type="dxa"/>
            <w:tcBorders>
              <w:top w:val="nil"/>
              <w:left w:val="nil"/>
              <w:bottom w:val="nil"/>
              <w:right w:val="nil"/>
            </w:tcBorders>
            <w:tcMar>
              <w:top w:w="15" w:type="dxa"/>
              <w:left w:w="15" w:type="dxa"/>
              <w:right w:w="15" w:type="dxa"/>
            </w:tcMar>
            <w:vAlign w:val="bottom"/>
          </w:tcPr>
          <w:p w:rsidR="4EF34917" w:rsidRDefault="4EF34917" w14:paraId="5E20F457" w14:textId="05A1AF06"/>
        </w:tc>
        <w:tc>
          <w:tcPr>
            <w:tcW w:w="1211" w:type="dxa"/>
            <w:tcBorders>
              <w:top w:val="nil"/>
              <w:left w:val="nil"/>
              <w:bottom w:val="nil"/>
              <w:right w:val="nil"/>
            </w:tcBorders>
            <w:tcMar>
              <w:top w:w="15" w:type="dxa"/>
              <w:left w:w="15" w:type="dxa"/>
              <w:right w:w="15" w:type="dxa"/>
            </w:tcMar>
            <w:vAlign w:val="bottom"/>
          </w:tcPr>
          <w:p w:rsidR="4EF34917" w:rsidRDefault="4EF34917" w14:paraId="52A55CFE" w14:textId="75B12C9C"/>
        </w:tc>
      </w:tr>
      <w:tr w:rsidR="4EF34917" w:rsidTr="4EF34917" w14:paraId="21348BED">
        <w:trPr>
          <w:trHeight w:val="315"/>
        </w:trPr>
        <w:tc>
          <w:tcPr>
            <w:tcW w:w="3147" w:type="dxa"/>
            <w:tcBorders>
              <w:top w:val="nil"/>
              <w:left w:val="nil"/>
              <w:bottom w:val="nil"/>
              <w:right w:val="nil"/>
            </w:tcBorders>
            <w:tcMar>
              <w:top w:w="15" w:type="dxa"/>
              <w:left w:w="15" w:type="dxa"/>
              <w:right w:w="15" w:type="dxa"/>
            </w:tcMar>
            <w:vAlign w:val="bottom"/>
          </w:tcPr>
          <w:p w:rsidR="4EF34917" w:rsidP="4EF34917" w:rsidRDefault="4EF34917" w14:paraId="04F158E9" w14:textId="2DCFEC7C">
            <w:pPr>
              <w:spacing w:before="0" w:beforeAutospacing="off" w:after="0" w:afterAutospacing="off"/>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Gross Profit Margin</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02CC22B5" w14:textId="57A880FB">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28.38%</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1BD60EAE" w14:textId="7358C717">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28.34%</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0A204402" w14:textId="17D89096">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23.57%</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2616F340" w14:textId="77FBA2D0">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26.53%</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41ED8929" w14:textId="22E18806">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28.21%</w:t>
            </w:r>
          </w:p>
        </w:tc>
      </w:tr>
      <w:tr w:rsidR="4EF34917" w:rsidTr="4EF34917" w14:paraId="5F8648A5">
        <w:trPr>
          <w:trHeight w:val="315"/>
        </w:trPr>
        <w:tc>
          <w:tcPr>
            <w:tcW w:w="3147" w:type="dxa"/>
            <w:tcBorders>
              <w:top w:val="nil"/>
              <w:left w:val="nil"/>
              <w:bottom w:val="nil"/>
              <w:right w:val="nil"/>
            </w:tcBorders>
            <w:tcMar>
              <w:top w:w="15" w:type="dxa"/>
              <w:left w:w="15" w:type="dxa"/>
              <w:right w:w="15" w:type="dxa"/>
            </w:tcMar>
            <w:vAlign w:val="bottom"/>
          </w:tcPr>
          <w:p w:rsidR="4EF34917" w:rsidP="4EF34917" w:rsidRDefault="4EF34917" w14:paraId="2B292377" w14:textId="5B322941">
            <w:pPr>
              <w:spacing w:before="0" w:beforeAutospacing="off" w:after="0" w:afterAutospacing="off"/>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Operating Profit Margin</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04557B60" w14:textId="2402BFC0">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7.08%</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232C9E19" w14:textId="0F6C60A1">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8.55%</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1C493244" w14:textId="1570EDC0">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3.58%</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015970D0" w14:textId="39F9E59A">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5.39%</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68BFEEA7" w14:textId="1578D104">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5.22%</w:t>
            </w:r>
          </w:p>
        </w:tc>
      </w:tr>
      <w:tr w:rsidR="4EF34917" w:rsidTr="4EF34917" w14:paraId="06D7D333">
        <w:trPr>
          <w:trHeight w:val="315"/>
        </w:trPr>
        <w:tc>
          <w:tcPr>
            <w:tcW w:w="3147" w:type="dxa"/>
            <w:tcBorders>
              <w:top w:val="nil"/>
              <w:left w:val="nil"/>
              <w:bottom w:val="nil"/>
              <w:right w:val="nil"/>
            </w:tcBorders>
            <w:tcMar>
              <w:top w:w="15" w:type="dxa"/>
              <w:left w:w="15" w:type="dxa"/>
              <w:right w:w="15" w:type="dxa"/>
            </w:tcMar>
            <w:vAlign w:val="bottom"/>
          </w:tcPr>
          <w:p w:rsidR="4EF34917" w:rsidP="4EF34917" w:rsidRDefault="4EF34917" w14:paraId="60C130BF" w14:textId="28DAA487">
            <w:pPr>
              <w:spacing w:before="0" w:beforeAutospacing="off" w:after="0" w:afterAutospacing="off"/>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Net Profit Margin</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2E5E0539" w14:textId="25501D34">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4.73%</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246C8EB7" w14:textId="22A32AD8">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6.64%</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5E306479" w14:textId="6C5BA12B">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2.58%</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44BD3A35" w14:textId="25B8B37F">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3.91%</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602A9028" w14:textId="01494B25">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3.84%</w:t>
            </w:r>
          </w:p>
        </w:tc>
      </w:tr>
      <w:tr w:rsidR="4EF34917" w:rsidTr="4EF34917" w14:paraId="05D74C6A">
        <w:trPr>
          <w:trHeight w:val="315"/>
        </w:trPr>
        <w:tc>
          <w:tcPr>
            <w:tcW w:w="3147" w:type="dxa"/>
            <w:tcBorders>
              <w:top w:val="nil"/>
              <w:left w:val="nil"/>
              <w:bottom w:val="nil"/>
              <w:right w:val="nil"/>
            </w:tcBorders>
            <w:tcMar>
              <w:top w:w="15" w:type="dxa"/>
              <w:left w:w="15" w:type="dxa"/>
              <w:right w:w="15" w:type="dxa"/>
            </w:tcMar>
            <w:vAlign w:val="bottom"/>
          </w:tcPr>
          <w:p w:rsidR="4EF34917" w:rsidP="4EF34917" w:rsidRDefault="4EF34917" w14:paraId="6EDB828B" w14:textId="07667190">
            <w:pPr>
              <w:spacing w:before="0" w:beforeAutospacing="off" w:after="0" w:afterAutospacing="off"/>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Operating Return on Assets</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4AE954BA" w14:textId="3489E74E">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12.76%</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73EB566B" w14:textId="496DFE4D">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16.62%</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45A82CC7" w14:textId="27E4FB77">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7.21%</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4BB17ECF" w14:textId="69CA3BDC">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10.31%</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419FCD2E" w14:textId="20282F38">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9.63%</w:t>
            </w:r>
          </w:p>
        </w:tc>
      </w:tr>
      <w:tr w:rsidR="4EF34917" w:rsidTr="4EF34917" w14:paraId="58765079">
        <w:trPr>
          <w:trHeight w:val="315"/>
        </w:trPr>
        <w:tc>
          <w:tcPr>
            <w:tcW w:w="3147" w:type="dxa"/>
            <w:tcBorders>
              <w:top w:val="nil"/>
              <w:left w:val="nil"/>
              <w:bottom w:val="nil"/>
              <w:right w:val="nil"/>
            </w:tcBorders>
            <w:tcMar>
              <w:top w:w="15" w:type="dxa"/>
              <w:left w:w="15" w:type="dxa"/>
              <w:right w:w="15" w:type="dxa"/>
            </w:tcMar>
            <w:vAlign w:val="bottom"/>
          </w:tcPr>
          <w:p w:rsidR="4EF34917" w:rsidP="4EF34917" w:rsidRDefault="4EF34917" w14:paraId="6571A7C5" w14:textId="6D7AC7DC">
            <w:pPr>
              <w:spacing w:before="0" w:beforeAutospacing="off" w:after="0" w:afterAutospacing="off"/>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Return on Equity (ROE)</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6736AB79" w14:textId="247BEFAF">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30.25%</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24660AD8" w14:textId="0B43E930">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54.15%</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5A8B84F0" w14:textId="0C6F3A73">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24.75%</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2C1E3C47" w14:textId="73E141CD">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30.81%</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354556FF" w14:textId="0DE60490">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27.89%</w:t>
            </w:r>
          </w:p>
        </w:tc>
      </w:tr>
      <w:tr w:rsidR="4EF34917" w:rsidTr="4EF34917" w14:paraId="0BEBFFFF">
        <w:trPr>
          <w:trHeight w:val="315"/>
        </w:trPr>
        <w:tc>
          <w:tcPr>
            <w:tcW w:w="3147" w:type="dxa"/>
            <w:tcBorders>
              <w:top w:val="nil"/>
              <w:left w:val="nil"/>
              <w:bottom w:val="nil"/>
              <w:right w:val="nil"/>
            </w:tcBorders>
            <w:tcMar>
              <w:top w:w="15" w:type="dxa"/>
              <w:left w:w="15" w:type="dxa"/>
              <w:right w:w="15" w:type="dxa"/>
            </w:tcMar>
            <w:vAlign w:val="bottom"/>
          </w:tcPr>
          <w:p w:rsidR="4EF34917" w:rsidP="4EF34917" w:rsidRDefault="4EF34917" w14:paraId="4ECA08B3" w14:textId="1436E421">
            <w:pPr>
              <w:spacing w:before="0" w:beforeAutospacing="off" w:after="0" w:afterAutospacing="off"/>
            </w:pPr>
            <w:r w:rsidRPr="4EF34917" w:rsidR="4EF34917">
              <w:rPr>
                <w:rFonts w:ascii="Times New Roman" w:hAnsi="Times New Roman" w:eastAsia="Times New Roman" w:cs="Times New Roman"/>
                <w:b w:val="1"/>
                <w:bCs w:val="1"/>
                <w:i w:val="0"/>
                <w:iCs w:val="0"/>
                <w:strike w:val="0"/>
                <w:dstrike w:val="0"/>
                <w:color w:val="000000" w:themeColor="text1" w:themeTint="FF" w:themeShade="FF"/>
                <w:sz w:val="24"/>
                <w:szCs w:val="24"/>
                <w:u w:val="none"/>
              </w:rPr>
              <w:t>Return on Assets (ROA)</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4CEF503F" w14:textId="635A9214">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8.52%</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37BD6E88" w14:textId="124ACE2F">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12.91%</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629CB32C" w14:textId="590C03A9">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5.21%</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66BE3467" w14:textId="54E5CC69">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7.48%</w:t>
            </w:r>
          </w:p>
        </w:tc>
        <w:tc>
          <w:tcPr>
            <w:tcW w:w="1211" w:type="dxa"/>
            <w:tcBorders>
              <w:top w:val="nil"/>
              <w:left w:val="nil"/>
              <w:bottom w:val="nil"/>
              <w:right w:val="nil"/>
            </w:tcBorders>
            <w:tcMar>
              <w:top w:w="15" w:type="dxa"/>
              <w:left w:w="15" w:type="dxa"/>
              <w:right w:w="15" w:type="dxa"/>
            </w:tcMar>
            <w:vAlign w:val="bottom"/>
          </w:tcPr>
          <w:p w:rsidR="4EF34917" w:rsidP="4EF34917" w:rsidRDefault="4EF34917" w14:paraId="32FDEBA2" w14:textId="159CCCAD">
            <w:pPr>
              <w:spacing w:before="0" w:beforeAutospacing="off" w:after="0" w:afterAutospacing="off"/>
              <w:jc w:val="right"/>
            </w:pPr>
            <w:r w:rsidRPr="4EF34917" w:rsidR="4EF34917">
              <w:rPr>
                <w:rFonts w:ascii="Times New Roman" w:hAnsi="Times New Roman" w:eastAsia="Times New Roman" w:cs="Times New Roman"/>
                <w:b w:val="0"/>
                <w:bCs w:val="0"/>
                <w:i w:val="0"/>
                <w:iCs w:val="0"/>
                <w:strike w:val="0"/>
                <w:dstrike w:val="0"/>
                <w:color w:val="000000" w:themeColor="text1" w:themeTint="FF" w:themeShade="FF"/>
                <w:sz w:val="24"/>
                <w:szCs w:val="24"/>
                <w:u w:val="none"/>
              </w:rPr>
              <w:t>7.08%</w:t>
            </w:r>
          </w:p>
        </w:tc>
      </w:tr>
    </w:tbl>
    <w:p w:rsidR="4EF34917" w:rsidP="4EF34917" w:rsidRDefault="4EF34917" w14:paraId="4A60EAED" w14:textId="49563CDC">
      <w:pPr>
        <w:pStyle w:val="Normal"/>
        <w:spacing w:line="480" w:lineRule="auto"/>
        <w:ind w:left="0"/>
        <w:jc w:val="left"/>
        <w:rPr>
          <w:rFonts w:ascii="Times New Roman" w:hAnsi="Times New Roman" w:eastAsia="Times New Roman" w:cs="Times New Roman"/>
          <w:b w:val="0"/>
          <w:bCs w:val="0"/>
        </w:rPr>
      </w:pPr>
    </w:p>
    <w:p w:rsidR="27A422E8" w:rsidP="4EF34917" w:rsidRDefault="27A422E8" w14:paraId="12794EB5" w14:textId="7E44DF54">
      <w:pPr>
        <w:pStyle w:val="Normal"/>
        <w:spacing w:line="480" w:lineRule="auto"/>
        <w:ind w:left="0"/>
        <w:jc w:val="left"/>
      </w:pPr>
      <w:r w:rsidRPr="4EF34917" w:rsidR="27A422E8">
        <w:rPr>
          <w:rFonts w:ascii="Times New Roman" w:hAnsi="Times New Roman" w:eastAsia="Times New Roman" w:cs="Times New Roman"/>
          <w:b w:val="0"/>
          <w:bCs w:val="0"/>
        </w:rPr>
        <w:t>Target's profitability results changed significantly from 2020 to 2024. Profitability was strongest in 2021, when the net profit margin reached 6.64%. operating profit margin reached 8.55%, and the return on assets reached 12.91%. However, Tar</w:t>
      </w:r>
      <w:r w:rsidRPr="4EF34917" w:rsidR="5379F8ED">
        <w:rPr>
          <w:rFonts w:ascii="Times New Roman" w:hAnsi="Times New Roman" w:eastAsia="Times New Roman" w:cs="Times New Roman"/>
          <w:b w:val="0"/>
          <w:bCs w:val="0"/>
        </w:rPr>
        <w:t xml:space="preserve">get's profitability dropped sharply in 2022. The net profit margin fell to 2.58%; operating profit margin decreased to 3.58% and return on assets fell to 5.21%. Target's 2022 results were affected by higher costs, excess inventory, and changes in consumer </w:t>
      </w:r>
      <w:r w:rsidRPr="4EF34917" w:rsidR="24F4CDC4">
        <w:rPr>
          <w:rFonts w:ascii="Times New Roman" w:hAnsi="Times New Roman" w:eastAsia="Times New Roman" w:cs="Times New Roman"/>
          <w:b w:val="0"/>
          <w:bCs w:val="0"/>
        </w:rPr>
        <w:t xml:space="preserve">spending, especially as customers shifted away from some discretionary products. These factors put pressure on Target's profits even though sales remained </w:t>
      </w:r>
      <w:r w:rsidRPr="4EF34917" w:rsidR="24F4CDC4">
        <w:rPr>
          <w:rFonts w:ascii="Times New Roman" w:hAnsi="Times New Roman" w:eastAsia="Times New Roman" w:cs="Times New Roman"/>
          <w:b w:val="0"/>
          <w:bCs w:val="0"/>
        </w:rPr>
        <w:t>relatively high.</w:t>
      </w:r>
    </w:p>
    <w:p w:rsidR="24F4CDC4" w:rsidP="4EF34917" w:rsidRDefault="24F4CDC4" w14:paraId="1B95E542" w14:textId="618534E8">
      <w:pPr>
        <w:pStyle w:val="Normal"/>
        <w:spacing w:line="480" w:lineRule="auto"/>
        <w:ind w:left="0"/>
        <w:jc w:val="left"/>
        <w:rPr>
          <w:rFonts w:ascii="Times New Roman" w:hAnsi="Times New Roman" w:eastAsia="Times New Roman" w:cs="Times New Roman"/>
          <w:b w:val="0"/>
          <w:bCs w:val="0"/>
        </w:rPr>
      </w:pPr>
      <w:r w:rsidRPr="4EF34917" w:rsidR="24F4CDC4">
        <w:rPr>
          <w:rFonts w:ascii="Times New Roman" w:hAnsi="Times New Roman" w:eastAsia="Times New Roman" w:cs="Times New Roman"/>
          <w:b w:val="0"/>
          <w:bCs w:val="0"/>
        </w:rPr>
        <w:t>Target's profitability improved in 2023 and remained fairly stable in 2024.</w:t>
      </w:r>
      <w:r w:rsidRPr="4EF34917" w:rsidR="24F4CDC4">
        <w:rPr>
          <w:rFonts w:ascii="Times New Roman" w:hAnsi="Times New Roman" w:eastAsia="Times New Roman" w:cs="Times New Roman"/>
          <w:b w:val="0"/>
          <w:bCs w:val="0"/>
        </w:rPr>
        <w:t xml:space="preserve"> Gross profit margin increased from 23.57% in 2022 to 28.21% in 2024, while net profit margin recovered to 3.84% in 2024. Return on equity also recovered from 24.75% in 2022 to 27.89%</w:t>
      </w:r>
      <w:r w:rsidRPr="4EF34917" w:rsidR="3035BA21">
        <w:rPr>
          <w:rFonts w:ascii="Times New Roman" w:hAnsi="Times New Roman" w:eastAsia="Times New Roman" w:cs="Times New Roman"/>
          <w:b w:val="0"/>
          <w:bCs w:val="0"/>
        </w:rPr>
        <w:t xml:space="preserve"> in 2024, although it </w:t>
      </w:r>
      <w:r w:rsidRPr="4EF34917" w:rsidR="3035BA21">
        <w:rPr>
          <w:rFonts w:ascii="Times New Roman" w:hAnsi="Times New Roman" w:eastAsia="Times New Roman" w:cs="Times New Roman"/>
          <w:b w:val="0"/>
          <w:bCs w:val="0"/>
        </w:rPr>
        <w:t>remained</w:t>
      </w:r>
      <w:r w:rsidRPr="4EF34917" w:rsidR="3035BA21">
        <w:rPr>
          <w:rFonts w:ascii="Times New Roman" w:hAnsi="Times New Roman" w:eastAsia="Times New Roman" w:cs="Times New Roman"/>
          <w:b w:val="0"/>
          <w:bCs w:val="0"/>
        </w:rPr>
        <w:t xml:space="preserve"> well below its 2021 level of 54.15%. Overall, the results show that Target recovered from much of the profitability decline experienced in 2022, but several measures have not returned to their 2021 highs. </w:t>
      </w:r>
      <w:r w:rsidRPr="4EF34917" w:rsidR="3035BA21">
        <w:rPr>
          <w:rFonts w:ascii="Times New Roman" w:hAnsi="Times New Roman" w:eastAsia="Times New Roman" w:cs="Times New Roman"/>
          <w:b w:val="0"/>
          <w:bCs w:val="0"/>
        </w:rPr>
        <w:t>Target should continue controlling costs and managing inventory carefully while focusing on maintainin</w:t>
      </w:r>
      <w:r w:rsidRPr="4EF34917" w:rsidR="57FF5136">
        <w:rPr>
          <w:rFonts w:ascii="Times New Roman" w:hAnsi="Times New Roman" w:eastAsia="Times New Roman" w:cs="Times New Roman"/>
          <w:b w:val="0"/>
          <w:bCs w:val="0"/>
        </w:rPr>
        <w:t xml:space="preserve">g </w:t>
      </w:r>
      <w:r w:rsidRPr="4EF34917" w:rsidR="57FF5136">
        <w:rPr>
          <w:rFonts w:ascii="Times New Roman" w:hAnsi="Times New Roman" w:eastAsia="Times New Roman" w:cs="Times New Roman"/>
          <w:b w:val="0"/>
          <w:bCs w:val="0"/>
        </w:rPr>
        <w:t>profitable</w:t>
      </w:r>
      <w:r w:rsidRPr="4EF34917" w:rsidR="57FF5136">
        <w:rPr>
          <w:rFonts w:ascii="Times New Roman" w:hAnsi="Times New Roman" w:eastAsia="Times New Roman" w:cs="Times New Roman"/>
          <w:b w:val="0"/>
          <w:bCs w:val="0"/>
        </w:rPr>
        <w:t xml:space="preserve"> sales growth.</w:t>
      </w:r>
      <w:r w:rsidRPr="4EF34917" w:rsidR="57FF5136">
        <w:rPr>
          <w:rFonts w:ascii="Times New Roman" w:hAnsi="Times New Roman" w:eastAsia="Times New Roman" w:cs="Times New Roman"/>
          <w:b w:val="0"/>
          <w:bCs w:val="0"/>
        </w:rPr>
        <w:t xml:space="preserve"> </w:t>
      </w:r>
    </w:p>
    <w:p w:rsidR="547D4602" w:rsidP="0C022DB6" w:rsidRDefault="547D4602" w14:paraId="35460B8A" w14:textId="2436C62A">
      <w:pPr>
        <w:pStyle w:val="ListParagraph"/>
        <w:numPr>
          <w:ilvl w:val="0"/>
          <w:numId w:val="1"/>
        </w:numPr>
        <w:spacing w:line="480" w:lineRule="auto"/>
        <w:jc w:val="left"/>
        <w:rPr>
          <w:rFonts w:ascii="Times New Roman" w:hAnsi="Times New Roman" w:eastAsia="Times New Roman" w:cs="Times New Roman"/>
          <w:b w:val="1"/>
          <w:bCs w:val="1"/>
        </w:rPr>
      </w:pPr>
      <w:r w:rsidRPr="4EF34917" w:rsidR="27FD974A">
        <w:rPr>
          <w:rFonts w:ascii="Times New Roman" w:hAnsi="Times New Roman" w:eastAsia="Times New Roman" w:cs="Times New Roman"/>
          <w:b w:val="1"/>
          <w:bCs w:val="1"/>
        </w:rPr>
        <w:t>DuPont Analysis</w:t>
      </w:r>
    </w:p>
    <w:tbl>
      <w:tblPr>
        <w:tblStyle w:val="TableNormal"/>
        <w:bidiVisual w:val="0"/>
        <w:tblW w:w="0" w:type="auto"/>
        <w:tblLook w:val="06A0" w:firstRow="1" w:lastRow="0" w:firstColumn="1" w:lastColumn="0" w:noHBand="1" w:noVBand="1"/>
      </w:tblPr>
      <w:tblGrid>
        <w:gridCol w:w="2292"/>
        <w:gridCol w:w="1205"/>
        <w:gridCol w:w="1205"/>
        <w:gridCol w:w="1205"/>
        <w:gridCol w:w="1205"/>
        <w:gridCol w:w="1206"/>
      </w:tblGrid>
      <w:tr w:rsidR="4EF34917" w:rsidTr="4EF34917" w14:paraId="3D1F6E70">
        <w:trPr>
          <w:trHeight w:val="300"/>
        </w:trPr>
        <w:tc>
          <w:tcPr>
            <w:tcW w:w="2292" w:type="dxa"/>
            <w:tcBorders>
              <w:top w:val="nil"/>
              <w:left w:val="nil"/>
              <w:bottom w:val="nil"/>
              <w:right w:val="nil"/>
            </w:tcBorders>
            <w:tcMar>
              <w:top w:w="15" w:type="dxa"/>
              <w:left w:w="15" w:type="dxa"/>
              <w:right w:w="15" w:type="dxa"/>
            </w:tcMar>
            <w:vAlign w:val="bottom"/>
          </w:tcPr>
          <w:p w:rsidR="4EF34917" w:rsidP="4EF34917" w:rsidRDefault="4EF34917" w14:paraId="016F65E7" w14:textId="74C5B633">
            <w:pPr>
              <w:spacing w:before="0" w:beforeAutospacing="off" w:after="0" w:afterAutospacing="off"/>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DuPont </w:t>
            </w:r>
            <w:r w:rsidRPr="4EF34917" w:rsidR="0383C0A0">
              <w:rPr>
                <w:rFonts w:ascii="Aptos Narrow" w:hAnsi="Aptos Narrow" w:eastAsia="Aptos Narrow" w:cs="Aptos Narrow"/>
                <w:b w:val="0"/>
                <w:bCs w:val="0"/>
                <w:i w:val="0"/>
                <w:iCs w:val="0"/>
                <w:strike w:val="0"/>
                <w:dstrike w:val="0"/>
                <w:color w:val="000000" w:themeColor="text1" w:themeTint="FF" w:themeShade="FF"/>
                <w:sz w:val="22"/>
                <w:szCs w:val="22"/>
                <w:u w:val="none"/>
              </w:rPr>
              <w:t>Analysis</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5BA27543" w14:textId="6E9CB1AF">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2020</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5C461E9E" w14:textId="32572335">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2021</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594995D7" w14:textId="37A0713E">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2022</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59EF247D" w14:textId="24299C00">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2023</w:t>
            </w:r>
          </w:p>
        </w:tc>
        <w:tc>
          <w:tcPr>
            <w:tcW w:w="1206" w:type="dxa"/>
            <w:tcBorders>
              <w:top w:val="nil"/>
              <w:left w:val="nil"/>
              <w:bottom w:val="nil"/>
              <w:right w:val="nil"/>
            </w:tcBorders>
            <w:tcMar>
              <w:top w:w="15" w:type="dxa"/>
              <w:left w:w="15" w:type="dxa"/>
              <w:right w:w="15" w:type="dxa"/>
            </w:tcMar>
            <w:vAlign w:val="bottom"/>
          </w:tcPr>
          <w:p w:rsidR="4EF34917" w:rsidP="4EF34917" w:rsidRDefault="4EF34917" w14:paraId="691E41BD" w14:textId="728F9BA4">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2024</w:t>
            </w:r>
          </w:p>
        </w:tc>
      </w:tr>
      <w:tr w:rsidR="4EF34917" w:rsidTr="4EF34917" w14:paraId="23A69A26">
        <w:trPr>
          <w:trHeight w:val="300"/>
        </w:trPr>
        <w:tc>
          <w:tcPr>
            <w:tcW w:w="2292" w:type="dxa"/>
            <w:tcBorders>
              <w:top w:val="nil"/>
              <w:left w:val="nil"/>
              <w:bottom w:val="nil"/>
              <w:right w:val="nil"/>
            </w:tcBorders>
            <w:tcMar>
              <w:top w:w="15" w:type="dxa"/>
              <w:left w:w="15" w:type="dxa"/>
              <w:right w:w="15" w:type="dxa"/>
            </w:tcMar>
            <w:vAlign w:val="bottom"/>
          </w:tcPr>
          <w:p w:rsidR="4EF34917" w:rsidP="4EF34917" w:rsidRDefault="4EF34917" w14:paraId="346E73B0" w14:textId="5B3D6730">
            <w:pPr>
              <w:spacing w:before="0" w:beforeAutospacing="off" w:after="0" w:afterAutospacing="off"/>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Profit Margin</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2BCF5594" w14:textId="02C27133">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4.73%</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022721F8" w14:textId="211232C0">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6.64%</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58481E9E" w14:textId="5681777A">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2.58%</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6A1E1D5E" w14:textId="79CBF0F9">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3.91%</w:t>
            </w:r>
          </w:p>
        </w:tc>
        <w:tc>
          <w:tcPr>
            <w:tcW w:w="1206" w:type="dxa"/>
            <w:tcBorders>
              <w:top w:val="nil"/>
              <w:left w:val="nil"/>
              <w:bottom w:val="nil"/>
              <w:right w:val="nil"/>
            </w:tcBorders>
            <w:tcMar>
              <w:top w:w="15" w:type="dxa"/>
              <w:left w:w="15" w:type="dxa"/>
              <w:right w:w="15" w:type="dxa"/>
            </w:tcMar>
            <w:vAlign w:val="bottom"/>
          </w:tcPr>
          <w:p w:rsidR="4EF34917" w:rsidP="4EF34917" w:rsidRDefault="4EF34917" w14:paraId="47A8CD14" w14:textId="1816A7FF">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3.84%</w:t>
            </w:r>
          </w:p>
        </w:tc>
      </w:tr>
      <w:tr w:rsidR="4EF34917" w:rsidTr="4EF34917" w14:paraId="2DEA1D0C">
        <w:trPr>
          <w:trHeight w:val="300"/>
        </w:trPr>
        <w:tc>
          <w:tcPr>
            <w:tcW w:w="2292" w:type="dxa"/>
            <w:tcBorders>
              <w:top w:val="nil"/>
              <w:left w:val="nil"/>
              <w:bottom w:val="nil"/>
              <w:right w:val="nil"/>
            </w:tcBorders>
            <w:tcMar>
              <w:top w:w="15" w:type="dxa"/>
              <w:left w:w="15" w:type="dxa"/>
              <w:right w:w="15" w:type="dxa"/>
            </w:tcMar>
            <w:vAlign w:val="bottom"/>
          </w:tcPr>
          <w:p w:rsidR="4EF34917" w:rsidP="4EF34917" w:rsidRDefault="4EF34917" w14:paraId="00847A59" w14:textId="45720ADB">
            <w:pPr>
              <w:spacing w:before="0" w:beforeAutospacing="off" w:after="0" w:afterAutospacing="off"/>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Total Asset Turnover</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2BA26F44" w14:textId="3CA14957">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1.80</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479E9747" w14:textId="2AFD8461">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1.94</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50654C54" w14:textId="6674681C">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2.02</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3301ADC3" w14:textId="2F3C0DEF">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1.91</w:t>
            </w:r>
          </w:p>
        </w:tc>
        <w:tc>
          <w:tcPr>
            <w:tcW w:w="1206" w:type="dxa"/>
            <w:tcBorders>
              <w:top w:val="nil"/>
              <w:left w:val="nil"/>
              <w:bottom w:val="nil"/>
              <w:right w:val="nil"/>
            </w:tcBorders>
            <w:tcMar>
              <w:top w:w="15" w:type="dxa"/>
              <w:left w:w="15" w:type="dxa"/>
              <w:right w:w="15" w:type="dxa"/>
            </w:tcMar>
            <w:vAlign w:val="bottom"/>
          </w:tcPr>
          <w:p w:rsidR="4EF34917" w:rsidP="4EF34917" w:rsidRDefault="4EF34917" w14:paraId="59517B07" w14:textId="72E75C95">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1.84</w:t>
            </w:r>
          </w:p>
        </w:tc>
      </w:tr>
      <w:tr w:rsidR="4EF34917" w:rsidTr="4EF34917" w14:paraId="1F64B822">
        <w:trPr>
          <w:trHeight w:val="300"/>
        </w:trPr>
        <w:tc>
          <w:tcPr>
            <w:tcW w:w="2292" w:type="dxa"/>
            <w:tcBorders>
              <w:top w:val="nil"/>
              <w:left w:val="nil"/>
              <w:bottom w:val="nil"/>
              <w:right w:val="nil"/>
            </w:tcBorders>
            <w:tcMar>
              <w:top w:w="15" w:type="dxa"/>
              <w:left w:w="15" w:type="dxa"/>
              <w:right w:w="15" w:type="dxa"/>
            </w:tcMar>
            <w:vAlign w:val="bottom"/>
          </w:tcPr>
          <w:p w:rsidR="4EF34917" w:rsidP="4EF34917" w:rsidRDefault="4EF34917" w14:paraId="262FD44A" w14:textId="411FB6E3">
            <w:pPr>
              <w:spacing w:before="0" w:beforeAutospacing="off" w:after="0" w:afterAutospacing="off"/>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Return on Assets</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068231BA" w14:textId="21846036">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8.52%</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63C3564D" w14:textId="6FD0B383">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12.91%</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367CE91A" w14:textId="215F6C6E">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5.21%</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45CACA02" w14:textId="767B8F00">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7.48%</w:t>
            </w:r>
          </w:p>
        </w:tc>
        <w:tc>
          <w:tcPr>
            <w:tcW w:w="1206" w:type="dxa"/>
            <w:tcBorders>
              <w:top w:val="nil"/>
              <w:left w:val="nil"/>
              <w:bottom w:val="nil"/>
              <w:right w:val="nil"/>
            </w:tcBorders>
            <w:tcMar>
              <w:top w:w="15" w:type="dxa"/>
              <w:left w:w="15" w:type="dxa"/>
              <w:right w:w="15" w:type="dxa"/>
            </w:tcMar>
            <w:vAlign w:val="bottom"/>
          </w:tcPr>
          <w:p w:rsidR="4EF34917" w:rsidP="4EF34917" w:rsidRDefault="4EF34917" w14:paraId="378E79A0" w14:textId="538F9008">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7.08%</w:t>
            </w:r>
          </w:p>
        </w:tc>
      </w:tr>
      <w:tr w:rsidR="4EF34917" w:rsidTr="4EF34917" w14:paraId="6B57B5A0">
        <w:trPr>
          <w:trHeight w:val="300"/>
        </w:trPr>
        <w:tc>
          <w:tcPr>
            <w:tcW w:w="2292" w:type="dxa"/>
            <w:tcBorders>
              <w:top w:val="nil"/>
              <w:left w:val="nil"/>
              <w:bottom w:val="nil"/>
              <w:right w:val="nil"/>
            </w:tcBorders>
            <w:tcMar>
              <w:top w:w="15" w:type="dxa"/>
              <w:left w:w="15" w:type="dxa"/>
              <w:right w:w="15" w:type="dxa"/>
            </w:tcMar>
            <w:vAlign w:val="bottom"/>
          </w:tcPr>
          <w:p w:rsidR="4EF34917" w:rsidP="4EF34917" w:rsidRDefault="4EF34917" w14:paraId="5F5FDFC2" w14:textId="36ABD29C">
            <w:pPr>
              <w:spacing w:before="0" w:beforeAutospacing="off" w:after="0" w:afterAutospacing="off"/>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Debt/Assets</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3B7E876B" w14:textId="2B2E02F9">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71.82%</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416287C9" w14:textId="204A1A30">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76.16%</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51BF3583" w14:textId="5856F83E">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78.94%</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6DF06B83" w14:textId="21AFDA6F">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75.74%</w:t>
            </w:r>
          </w:p>
        </w:tc>
        <w:tc>
          <w:tcPr>
            <w:tcW w:w="1206" w:type="dxa"/>
            <w:tcBorders>
              <w:top w:val="nil"/>
              <w:left w:val="nil"/>
              <w:bottom w:val="nil"/>
              <w:right w:val="nil"/>
            </w:tcBorders>
            <w:tcMar>
              <w:top w:w="15" w:type="dxa"/>
              <w:left w:w="15" w:type="dxa"/>
              <w:right w:w="15" w:type="dxa"/>
            </w:tcMar>
            <w:vAlign w:val="bottom"/>
          </w:tcPr>
          <w:p w:rsidR="4EF34917" w:rsidP="4EF34917" w:rsidRDefault="4EF34917" w14:paraId="755872FA" w14:textId="50FD4652">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74.61%</w:t>
            </w:r>
          </w:p>
        </w:tc>
      </w:tr>
      <w:tr w:rsidR="4EF34917" w:rsidTr="4EF34917" w14:paraId="5B13349B">
        <w:trPr>
          <w:trHeight w:val="300"/>
        </w:trPr>
        <w:tc>
          <w:tcPr>
            <w:tcW w:w="2292" w:type="dxa"/>
            <w:tcBorders>
              <w:top w:val="nil"/>
              <w:left w:val="nil"/>
              <w:bottom w:val="nil"/>
              <w:right w:val="nil"/>
            </w:tcBorders>
            <w:tcMar>
              <w:top w:w="15" w:type="dxa"/>
              <w:left w:w="15" w:type="dxa"/>
              <w:right w:w="15" w:type="dxa"/>
            </w:tcMar>
            <w:vAlign w:val="bottom"/>
          </w:tcPr>
          <w:p w:rsidR="4EF34917" w:rsidP="4EF34917" w:rsidRDefault="4EF34917" w14:paraId="3A35C458" w14:textId="0B02F8AB">
            <w:pPr>
              <w:spacing w:before="0" w:beforeAutospacing="off" w:after="0" w:afterAutospacing="off"/>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1-Debt/Assets</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0BC33CA4" w14:textId="0B13CE73">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28.18%</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3B48773E" w14:textId="1DC9DAA1">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23.84%</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4547EC83" w14:textId="297887FD">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21.06%</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40145A04" w14:textId="7511F1B0">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24.26%</w:t>
            </w:r>
          </w:p>
        </w:tc>
        <w:tc>
          <w:tcPr>
            <w:tcW w:w="1206" w:type="dxa"/>
            <w:tcBorders>
              <w:top w:val="nil"/>
              <w:left w:val="nil"/>
              <w:bottom w:val="nil"/>
              <w:right w:val="nil"/>
            </w:tcBorders>
            <w:tcMar>
              <w:top w:w="15" w:type="dxa"/>
              <w:left w:w="15" w:type="dxa"/>
              <w:right w:w="15" w:type="dxa"/>
            </w:tcMar>
            <w:vAlign w:val="bottom"/>
          </w:tcPr>
          <w:p w:rsidR="4EF34917" w:rsidP="4EF34917" w:rsidRDefault="4EF34917" w14:paraId="433BE5E9" w14:textId="68700731">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25.39%</w:t>
            </w:r>
          </w:p>
        </w:tc>
      </w:tr>
      <w:tr w:rsidR="4EF34917" w:rsidTr="4EF34917" w14:paraId="1A28F953">
        <w:trPr>
          <w:trHeight w:val="300"/>
        </w:trPr>
        <w:tc>
          <w:tcPr>
            <w:tcW w:w="2292" w:type="dxa"/>
            <w:tcBorders>
              <w:top w:val="nil"/>
              <w:left w:val="nil"/>
              <w:bottom w:val="nil"/>
              <w:right w:val="nil"/>
            </w:tcBorders>
            <w:tcMar>
              <w:top w:w="15" w:type="dxa"/>
              <w:left w:w="15" w:type="dxa"/>
              <w:right w:w="15" w:type="dxa"/>
            </w:tcMar>
            <w:vAlign w:val="bottom"/>
          </w:tcPr>
          <w:p w:rsidR="4EF34917" w:rsidP="4EF34917" w:rsidRDefault="4EF34917" w14:paraId="1FEF1F2B" w14:textId="522FF2A2">
            <w:pPr>
              <w:spacing w:before="0" w:beforeAutospacing="off" w:after="0" w:afterAutospacing="off"/>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Return on Equity</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0497AE70" w14:textId="23E0AEF5">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30.25%</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7ABC68E6" w14:textId="07072171">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54.15%</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3B141B43" w14:textId="4EFA4FD6">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24.75%</w:t>
            </w:r>
          </w:p>
        </w:tc>
        <w:tc>
          <w:tcPr>
            <w:tcW w:w="1205" w:type="dxa"/>
            <w:tcBorders>
              <w:top w:val="nil"/>
              <w:left w:val="nil"/>
              <w:bottom w:val="nil"/>
              <w:right w:val="nil"/>
            </w:tcBorders>
            <w:tcMar>
              <w:top w:w="15" w:type="dxa"/>
              <w:left w:w="15" w:type="dxa"/>
              <w:right w:w="15" w:type="dxa"/>
            </w:tcMar>
            <w:vAlign w:val="bottom"/>
          </w:tcPr>
          <w:p w:rsidR="4EF34917" w:rsidP="4EF34917" w:rsidRDefault="4EF34917" w14:paraId="59108AD8" w14:textId="0ED3C33E">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30.81%</w:t>
            </w:r>
          </w:p>
        </w:tc>
        <w:tc>
          <w:tcPr>
            <w:tcW w:w="1206" w:type="dxa"/>
            <w:tcBorders>
              <w:top w:val="nil"/>
              <w:left w:val="nil"/>
              <w:bottom w:val="nil"/>
              <w:right w:val="nil"/>
            </w:tcBorders>
            <w:tcMar>
              <w:top w:w="15" w:type="dxa"/>
              <w:left w:w="15" w:type="dxa"/>
              <w:right w:w="15" w:type="dxa"/>
            </w:tcMar>
            <w:vAlign w:val="bottom"/>
          </w:tcPr>
          <w:p w:rsidR="4EF34917" w:rsidP="4EF34917" w:rsidRDefault="4EF34917" w14:paraId="109C4877" w14:textId="477C285F">
            <w:pPr>
              <w:spacing w:before="0" w:beforeAutospacing="off" w:after="0" w:afterAutospacing="off"/>
              <w:jc w:val="right"/>
            </w:pPr>
            <w:r w:rsidRPr="4EF34917" w:rsidR="4EF34917">
              <w:rPr>
                <w:rFonts w:ascii="Aptos Narrow" w:hAnsi="Aptos Narrow" w:eastAsia="Aptos Narrow" w:cs="Aptos Narrow"/>
                <w:b w:val="0"/>
                <w:bCs w:val="0"/>
                <w:i w:val="0"/>
                <w:iCs w:val="0"/>
                <w:strike w:val="0"/>
                <w:dstrike w:val="0"/>
                <w:color w:val="000000" w:themeColor="text1" w:themeTint="FF" w:themeShade="FF"/>
                <w:sz w:val="22"/>
                <w:szCs w:val="22"/>
                <w:u w:val="none"/>
              </w:rPr>
              <w:t>27.89%</w:t>
            </w:r>
          </w:p>
        </w:tc>
      </w:tr>
    </w:tbl>
    <w:p w:rsidR="4EF34917" w:rsidP="4EF34917" w:rsidRDefault="4EF34917" w14:paraId="3D60022D" w14:textId="6BE19FB4">
      <w:pPr>
        <w:pStyle w:val="Normal"/>
        <w:spacing w:line="480" w:lineRule="auto"/>
        <w:jc w:val="left"/>
        <w:rPr>
          <w:rFonts w:ascii="Times New Roman" w:hAnsi="Times New Roman" w:eastAsia="Times New Roman" w:cs="Times New Roman"/>
          <w:b w:val="1"/>
          <w:bCs w:val="1"/>
        </w:rPr>
      </w:pPr>
    </w:p>
    <w:p w:rsidR="69E75708" w:rsidP="4EF34917" w:rsidRDefault="69E75708" w14:paraId="211C2E90" w14:textId="7E6D13E8">
      <w:pPr>
        <w:pStyle w:val="Normal"/>
        <w:suppressLineNumbers w:val="0"/>
        <w:bidi w:val="0"/>
        <w:spacing w:before="0" w:beforeAutospacing="off" w:after="160" w:afterAutospacing="off" w:line="480" w:lineRule="auto"/>
        <w:ind w:left="0" w:right="0"/>
        <w:jc w:val="left"/>
      </w:pPr>
      <w:r w:rsidRPr="4EF34917" w:rsidR="69E75708">
        <w:rPr>
          <w:rFonts w:ascii="Times New Roman" w:hAnsi="Times New Roman" w:eastAsia="Times New Roman" w:cs="Times New Roman"/>
          <w:b w:val="1"/>
          <w:bCs w:val="1"/>
        </w:rPr>
        <w:t xml:space="preserve">The Dupont </w:t>
      </w:r>
      <w:r w:rsidRPr="4EF34917" w:rsidR="14C4B8F4">
        <w:rPr>
          <w:rFonts w:ascii="Times New Roman" w:hAnsi="Times New Roman" w:eastAsia="Times New Roman" w:cs="Times New Roman"/>
          <w:b w:val="1"/>
          <w:bCs w:val="1"/>
        </w:rPr>
        <w:t>Analysis</w:t>
      </w:r>
      <w:r w:rsidRPr="4EF34917" w:rsidR="69E75708">
        <w:rPr>
          <w:rFonts w:ascii="Times New Roman" w:hAnsi="Times New Roman" w:eastAsia="Times New Roman" w:cs="Times New Roman"/>
          <w:b w:val="1"/>
          <w:bCs w:val="1"/>
        </w:rPr>
        <w:t xml:space="preserve"> helps explain what caused </w:t>
      </w:r>
      <w:r w:rsidRPr="4EF34917" w:rsidR="309974C0">
        <w:rPr>
          <w:rFonts w:ascii="Times New Roman" w:hAnsi="Times New Roman" w:eastAsia="Times New Roman" w:cs="Times New Roman"/>
          <w:b w:val="1"/>
          <w:bCs w:val="1"/>
        </w:rPr>
        <w:t>changes</w:t>
      </w:r>
      <w:r w:rsidRPr="4EF34917" w:rsidR="69E75708">
        <w:rPr>
          <w:rFonts w:ascii="Times New Roman" w:hAnsi="Times New Roman" w:eastAsia="Times New Roman" w:cs="Times New Roman"/>
          <w:b w:val="1"/>
          <w:bCs w:val="1"/>
        </w:rPr>
        <w:t xml:space="preserve"> in Target's return on </w:t>
      </w:r>
      <w:r w:rsidRPr="4EF34917" w:rsidR="0FBDDE39">
        <w:rPr>
          <w:rFonts w:ascii="Times New Roman" w:hAnsi="Times New Roman" w:eastAsia="Times New Roman" w:cs="Times New Roman"/>
          <w:b w:val="1"/>
          <w:bCs w:val="1"/>
        </w:rPr>
        <w:t xml:space="preserve">equity </w:t>
      </w:r>
      <w:r w:rsidRPr="4EF34917" w:rsidR="69E75708">
        <w:rPr>
          <w:rFonts w:ascii="Times New Roman" w:hAnsi="Times New Roman" w:eastAsia="Times New Roman" w:cs="Times New Roman"/>
          <w:b w:val="1"/>
          <w:bCs w:val="1"/>
        </w:rPr>
        <w:t>(ROE) from 2020 through 2024. Target's ROE increased from 30.25% in 2020 to 54.15% in 2</w:t>
      </w:r>
      <w:r w:rsidRPr="4EF34917" w:rsidR="6E3B56DD">
        <w:rPr>
          <w:rFonts w:ascii="Times New Roman" w:hAnsi="Times New Roman" w:eastAsia="Times New Roman" w:cs="Times New Roman"/>
          <w:b w:val="1"/>
          <w:bCs w:val="1"/>
        </w:rPr>
        <w:t xml:space="preserve">021, before dropping significantly to 24.75% in 2022. The decrease in 2022 was </w:t>
      </w:r>
      <w:r w:rsidRPr="4EF34917" w:rsidR="6E3B56DD">
        <w:rPr>
          <w:rFonts w:ascii="Times New Roman" w:hAnsi="Times New Roman" w:eastAsia="Times New Roman" w:cs="Times New Roman"/>
          <w:b w:val="1"/>
          <w:bCs w:val="1"/>
        </w:rPr>
        <w:t>mainly connected</w:t>
      </w:r>
      <w:r w:rsidRPr="4EF34917" w:rsidR="6E3B56DD">
        <w:rPr>
          <w:rFonts w:ascii="Times New Roman" w:hAnsi="Times New Roman" w:eastAsia="Times New Roman" w:cs="Times New Roman"/>
          <w:b w:val="1"/>
          <w:bCs w:val="1"/>
        </w:rPr>
        <w:t xml:space="preserve"> to the decline in profitability, as Target's profit margin fell from 6.64% in 2021 to 2.58% in 2022. At the same time, total asset turnover increased from 1.94 to 2.02, showing that the company was still generating </w:t>
      </w:r>
      <w:r w:rsidRPr="4EF34917" w:rsidR="6E3B56DD">
        <w:rPr>
          <w:rFonts w:ascii="Times New Roman" w:hAnsi="Times New Roman" w:eastAsia="Times New Roman" w:cs="Times New Roman"/>
          <w:b w:val="1"/>
          <w:bCs w:val="1"/>
        </w:rPr>
        <w:t>a high level</w:t>
      </w:r>
      <w:r w:rsidRPr="4EF34917" w:rsidR="6E3B56DD">
        <w:rPr>
          <w:rFonts w:ascii="Times New Roman" w:hAnsi="Times New Roman" w:eastAsia="Times New Roman" w:cs="Times New Roman"/>
          <w:b w:val="1"/>
          <w:bCs w:val="1"/>
        </w:rPr>
        <w:t xml:space="preserve"> of sales relati</w:t>
      </w:r>
      <w:r w:rsidRPr="4EF34917" w:rsidR="5805764F">
        <w:rPr>
          <w:rFonts w:ascii="Times New Roman" w:hAnsi="Times New Roman" w:eastAsia="Times New Roman" w:cs="Times New Roman"/>
          <w:b w:val="1"/>
          <w:bCs w:val="1"/>
        </w:rPr>
        <w:t xml:space="preserve">ve to its assets. This shows that the decrease in ROE during 2022 was more related to lower profitability than lower asset </w:t>
      </w:r>
      <w:r w:rsidRPr="4EF34917" w:rsidR="12C98A26">
        <w:rPr>
          <w:rFonts w:ascii="Times New Roman" w:hAnsi="Times New Roman" w:eastAsia="Times New Roman" w:cs="Times New Roman"/>
          <w:b w:val="1"/>
          <w:bCs w:val="1"/>
        </w:rPr>
        <w:t>utilization</w:t>
      </w:r>
      <w:r w:rsidRPr="4EF34917" w:rsidR="5805764F">
        <w:rPr>
          <w:rFonts w:ascii="Times New Roman" w:hAnsi="Times New Roman" w:eastAsia="Times New Roman" w:cs="Times New Roman"/>
          <w:b w:val="1"/>
          <w:bCs w:val="1"/>
        </w:rPr>
        <w:t>.</w:t>
      </w:r>
      <w:r w:rsidRPr="4EF34917" w:rsidR="03C4FBC4">
        <w:rPr>
          <w:rFonts w:ascii="Times New Roman" w:hAnsi="Times New Roman" w:eastAsia="Times New Roman" w:cs="Times New Roman"/>
          <w:b w:val="1"/>
          <w:bCs w:val="1"/>
        </w:rPr>
        <w:t xml:space="preserve"> </w:t>
      </w:r>
    </w:p>
    <w:p w:rsidR="5805764F" w:rsidP="4EF34917" w:rsidRDefault="5805764F" w14:paraId="713C8142" w14:textId="7B6F04A3">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1"/>
          <w:bCs w:val="1"/>
        </w:rPr>
      </w:pPr>
      <w:r w:rsidRPr="4EF34917" w:rsidR="5805764F">
        <w:rPr>
          <w:rFonts w:ascii="Times New Roman" w:hAnsi="Times New Roman" w:eastAsia="Times New Roman" w:cs="Times New Roman"/>
          <w:b w:val="1"/>
          <w:bCs w:val="1"/>
        </w:rPr>
        <w:t>Target's ROE improved to 30.81</w:t>
      </w:r>
      <w:r w:rsidRPr="4EF34917" w:rsidR="019B32E4">
        <w:rPr>
          <w:rFonts w:ascii="Times New Roman" w:hAnsi="Times New Roman" w:eastAsia="Times New Roman" w:cs="Times New Roman"/>
          <w:b w:val="1"/>
          <w:bCs w:val="1"/>
        </w:rPr>
        <w:t xml:space="preserve">% in 2023 before decreasing slightly </w:t>
      </w:r>
      <w:r w:rsidRPr="4EF34917" w:rsidR="316CD349">
        <w:rPr>
          <w:rFonts w:ascii="Times New Roman" w:hAnsi="Times New Roman" w:eastAsia="Times New Roman" w:cs="Times New Roman"/>
          <w:b w:val="1"/>
          <w:bCs w:val="1"/>
        </w:rPr>
        <w:t xml:space="preserve">to </w:t>
      </w:r>
      <w:r w:rsidRPr="4EF34917" w:rsidR="019B32E4">
        <w:rPr>
          <w:rFonts w:ascii="Times New Roman" w:hAnsi="Times New Roman" w:eastAsia="Times New Roman" w:cs="Times New Roman"/>
          <w:b w:val="1"/>
          <w:bCs w:val="1"/>
        </w:rPr>
        <w:t xml:space="preserve">27.89% in 2024. Profit margin recovered from its 2022 low and reached 3.84% in 2024, while total asset turnover </w:t>
      </w:r>
      <w:r w:rsidRPr="4EF34917" w:rsidR="0FF7DFBE">
        <w:rPr>
          <w:rFonts w:ascii="Times New Roman" w:hAnsi="Times New Roman" w:eastAsia="Times New Roman" w:cs="Times New Roman"/>
          <w:b w:val="1"/>
          <w:bCs w:val="1"/>
        </w:rPr>
        <w:t xml:space="preserve">decreased to 1.84. Target's debt-to-assets percentage also decreased from 78.94% in 2022 to 74.61% in 2024. Overall, the DuPont </w:t>
      </w:r>
      <w:r w:rsidRPr="4EF34917" w:rsidR="3BB89860">
        <w:rPr>
          <w:rFonts w:ascii="Times New Roman" w:hAnsi="Times New Roman" w:eastAsia="Times New Roman" w:cs="Times New Roman"/>
          <w:b w:val="1"/>
          <w:bCs w:val="1"/>
        </w:rPr>
        <w:t>analysis</w:t>
      </w:r>
      <w:r w:rsidRPr="4EF34917" w:rsidR="0FF7DFBE">
        <w:rPr>
          <w:rFonts w:ascii="Times New Roman" w:hAnsi="Times New Roman" w:eastAsia="Times New Roman" w:cs="Times New Roman"/>
          <w:b w:val="1"/>
          <w:bCs w:val="1"/>
        </w:rPr>
        <w:t xml:space="preserve"> shows that changes in Target's profitability had a major effect on its ROE during this period, while changes in asset </w:t>
      </w:r>
      <w:r w:rsidRPr="4EF34917" w:rsidR="5B15C069">
        <w:rPr>
          <w:rFonts w:ascii="Times New Roman" w:hAnsi="Times New Roman" w:eastAsia="Times New Roman" w:cs="Times New Roman"/>
          <w:b w:val="1"/>
          <w:bCs w:val="1"/>
        </w:rPr>
        <w:t>utilization</w:t>
      </w:r>
      <w:r w:rsidRPr="4EF34917" w:rsidR="0FF7DFBE">
        <w:rPr>
          <w:rFonts w:ascii="Times New Roman" w:hAnsi="Times New Roman" w:eastAsia="Times New Roman" w:cs="Times New Roman"/>
          <w:b w:val="1"/>
          <w:bCs w:val="1"/>
        </w:rPr>
        <w:t xml:space="preserve"> and financial leverage also con</w:t>
      </w:r>
      <w:r w:rsidRPr="4EF34917" w:rsidR="318B11A5">
        <w:rPr>
          <w:rFonts w:ascii="Times New Roman" w:hAnsi="Times New Roman" w:eastAsia="Times New Roman" w:cs="Times New Roman"/>
          <w:b w:val="1"/>
          <w:bCs w:val="1"/>
        </w:rPr>
        <w:t xml:space="preserve">tributed. Target should continue focusing on </w:t>
      </w:r>
      <w:r w:rsidRPr="4EF34917" w:rsidR="48849181">
        <w:rPr>
          <w:rFonts w:ascii="Times New Roman" w:hAnsi="Times New Roman" w:eastAsia="Times New Roman" w:cs="Times New Roman"/>
          <w:b w:val="1"/>
          <w:bCs w:val="1"/>
        </w:rPr>
        <w:t>improving</w:t>
      </w:r>
      <w:r w:rsidRPr="4EF34917" w:rsidR="318B11A5">
        <w:rPr>
          <w:rFonts w:ascii="Times New Roman" w:hAnsi="Times New Roman" w:eastAsia="Times New Roman" w:cs="Times New Roman"/>
          <w:b w:val="1"/>
          <w:bCs w:val="1"/>
        </w:rPr>
        <w:t xml:space="preserve"> profit margins and using its assets </w:t>
      </w:r>
      <w:r w:rsidRPr="4EF34917" w:rsidR="1214A39D">
        <w:rPr>
          <w:rFonts w:ascii="Times New Roman" w:hAnsi="Times New Roman" w:eastAsia="Times New Roman" w:cs="Times New Roman"/>
          <w:b w:val="1"/>
          <w:bCs w:val="1"/>
        </w:rPr>
        <w:t xml:space="preserve">efficiently </w:t>
      </w:r>
      <w:r w:rsidRPr="4EF34917" w:rsidR="318B11A5">
        <w:rPr>
          <w:rFonts w:ascii="Times New Roman" w:hAnsi="Times New Roman" w:eastAsia="Times New Roman" w:cs="Times New Roman"/>
          <w:b w:val="1"/>
          <w:bCs w:val="1"/>
        </w:rPr>
        <w:t xml:space="preserve">to support stronger returns for shareholders. </w:t>
      </w:r>
    </w:p>
    <w:p w:rsidR="547D4602" w:rsidP="4EF34917" w:rsidRDefault="547D4602" w14:paraId="1FD8B4F5" w14:textId="6CCB3C3F">
      <w:pPr>
        <w:pStyle w:val="ListParagraph"/>
        <w:numPr>
          <w:ilvl w:val="0"/>
          <w:numId w:val="1"/>
        </w:numPr>
        <w:spacing w:line="480" w:lineRule="auto"/>
        <w:jc w:val="left"/>
        <w:rPr>
          <w:rFonts w:ascii="Times New Roman" w:hAnsi="Times New Roman" w:eastAsia="Times New Roman" w:cs="Times New Roman"/>
          <w:b w:val="1"/>
          <w:bCs w:val="1"/>
        </w:rPr>
      </w:pPr>
      <w:r w:rsidRPr="4EF34917" w:rsidR="1C57E300">
        <w:rPr>
          <w:rFonts w:ascii="Times New Roman" w:hAnsi="Times New Roman" w:eastAsia="Times New Roman" w:cs="Times New Roman"/>
          <w:b w:val="1"/>
          <w:bCs w:val="1"/>
        </w:rPr>
        <w:t>Market Analysis</w:t>
      </w:r>
    </w:p>
    <w:p w:rsidR="01CF5F33" w:rsidP="4EF34917" w:rsidRDefault="01CF5F33" w14:paraId="473E4835" w14:textId="1ED3039B">
      <w:pPr>
        <w:spacing w:before="0" w:beforeAutospacing="off" w:after="160" w:afterAutospacing="off" w:line="278" w:lineRule="auto"/>
        <w:jc w:val="left"/>
      </w:pPr>
      <w:r w:rsidRPr="4EF34917" w:rsidR="01CF5F33">
        <w:rPr>
          <w:rFonts w:ascii="Aptos Display" w:hAnsi="Aptos Display" w:eastAsia="Aptos Display" w:cs="Aptos Display"/>
          <w:noProof w:val="0"/>
          <w:sz w:val="24"/>
          <w:szCs w:val="24"/>
          <w:u w:val="single"/>
          <w:lang w:val="en-US"/>
        </w:rPr>
        <w:t>Market Ratio</w:t>
      </w:r>
    </w:p>
    <w:tbl>
      <w:tblPr>
        <w:tblStyle w:val="PlainTable4"/>
        <w:bidiVisual w:val="0"/>
        <w:tblW w:w="0" w:type="auto"/>
        <w:tblLook w:val="06A0" w:firstRow="1" w:lastRow="0" w:firstColumn="1" w:lastColumn="0" w:noHBand="1" w:noVBand="1"/>
      </w:tblPr>
      <w:tblGrid>
        <w:gridCol w:w="2370"/>
        <w:gridCol w:w="1785"/>
        <w:gridCol w:w="1395"/>
        <w:gridCol w:w="1335"/>
        <w:gridCol w:w="1335"/>
        <w:gridCol w:w="1740"/>
      </w:tblGrid>
      <w:tr w:rsidR="4EF34917" w:rsidTr="4EF34917" w14:paraId="4885CB01">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4EF34917" w:rsidP="4EF34917" w:rsidRDefault="4EF34917" w14:paraId="058021E3" w14:textId="220B95AD">
            <w:pPr>
              <w:spacing w:before="0" w:beforeAutospacing="off" w:after="0" w:afterAutospacing="off"/>
            </w:pPr>
            <w:r w:rsidRPr="4EF34917" w:rsidR="4EF34917">
              <w:rPr>
                <w:rFonts w:ascii="Aptos Narrow" w:hAnsi="Aptos Narrow" w:eastAsia="Aptos Narrow" w:cs="Aptos Narrow"/>
                <w:b w:val="1"/>
                <w:bCs w:val="1"/>
                <w:color w:val="000000" w:themeColor="text1" w:themeTint="FF" w:themeShade="FF"/>
                <w:sz w:val="22"/>
                <w:szCs w:val="22"/>
              </w:rPr>
              <w:t xml:space="preserve"> </w:t>
            </w:r>
          </w:p>
        </w:tc>
        <w:tc>
          <w:tcPr>
            <w:cnfStyle w:val="000000000000" w:firstRow="0" w:lastRow="0" w:firstColumn="0" w:lastColumn="0" w:oddVBand="0" w:evenVBand="0" w:oddHBand="0" w:evenHBand="0" w:firstRowFirstColumn="0" w:firstRowLastColumn="0" w:lastRowFirstColumn="0" w:lastRowLastColumn="0"/>
            <w:tcW w:w="1785" w:type="dxa"/>
            <w:tcMar/>
          </w:tcPr>
          <w:p w:rsidR="4EF34917" w:rsidP="4EF34917" w:rsidRDefault="4EF34917" w14:paraId="3D4219AE" w14:textId="6A639D2B">
            <w:pPr>
              <w:spacing w:before="0" w:beforeAutospacing="off" w:after="0" w:afterAutospacing="off"/>
              <w:jc w:val="right"/>
            </w:pPr>
            <w:r w:rsidRPr="4EF34917" w:rsidR="4EF34917">
              <w:rPr>
                <w:rFonts w:ascii="Aptos Narrow" w:hAnsi="Aptos Narrow" w:eastAsia="Aptos Narrow" w:cs="Aptos Narrow"/>
                <w:b w:val="1"/>
                <w:bCs w:val="1"/>
                <w:color w:val="000000" w:themeColor="text1" w:themeTint="FF" w:themeShade="FF"/>
                <w:sz w:val="22"/>
                <w:szCs w:val="22"/>
              </w:rPr>
              <w:t>2020</w:t>
            </w:r>
          </w:p>
        </w:tc>
        <w:tc>
          <w:tcPr>
            <w:cnfStyle w:val="000000000000" w:firstRow="0" w:lastRow="0" w:firstColumn="0" w:lastColumn="0" w:oddVBand="0" w:evenVBand="0" w:oddHBand="0" w:evenHBand="0" w:firstRowFirstColumn="0" w:firstRowLastColumn="0" w:lastRowFirstColumn="0" w:lastRowLastColumn="0"/>
            <w:tcW w:w="1395" w:type="dxa"/>
            <w:tcMar/>
          </w:tcPr>
          <w:p w:rsidR="4EF34917" w:rsidP="4EF34917" w:rsidRDefault="4EF34917" w14:paraId="2AC18A30" w14:textId="1622D427">
            <w:pPr>
              <w:spacing w:before="0" w:beforeAutospacing="off" w:after="0" w:afterAutospacing="off"/>
              <w:jc w:val="right"/>
            </w:pPr>
            <w:r w:rsidRPr="4EF34917" w:rsidR="4EF34917">
              <w:rPr>
                <w:rFonts w:ascii="Aptos Narrow" w:hAnsi="Aptos Narrow" w:eastAsia="Aptos Narrow" w:cs="Aptos Narrow"/>
                <w:b w:val="1"/>
                <w:bCs w:val="1"/>
                <w:color w:val="000000" w:themeColor="text1" w:themeTint="FF" w:themeShade="FF"/>
                <w:sz w:val="22"/>
                <w:szCs w:val="22"/>
              </w:rPr>
              <w:t>2021</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46DACD76" w14:textId="35631913">
            <w:pPr>
              <w:spacing w:before="0" w:beforeAutospacing="off" w:after="0" w:afterAutospacing="off"/>
              <w:jc w:val="right"/>
            </w:pPr>
            <w:r w:rsidRPr="4EF34917" w:rsidR="4EF34917">
              <w:rPr>
                <w:rFonts w:ascii="Aptos Narrow" w:hAnsi="Aptos Narrow" w:eastAsia="Aptos Narrow" w:cs="Aptos Narrow"/>
                <w:b w:val="1"/>
                <w:bCs w:val="1"/>
                <w:color w:val="000000" w:themeColor="text1" w:themeTint="FF" w:themeShade="FF"/>
                <w:sz w:val="22"/>
                <w:szCs w:val="22"/>
              </w:rPr>
              <w:t>2022</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3308B188" w14:textId="532C5191">
            <w:pPr>
              <w:spacing w:before="0" w:beforeAutospacing="off" w:after="0" w:afterAutospacing="off"/>
              <w:jc w:val="right"/>
            </w:pPr>
            <w:r w:rsidRPr="4EF34917" w:rsidR="4EF34917">
              <w:rPr>
                <w:rFonts w:ascii="Aptos Narrow" w:hAnsi="Aptos Narrow" w:eastAsia="Aptos Narrow" w:cs="Aptos Narrow"/>
                <w:b w:val="1"/>
                <w:bCs w:val="1"/>
                <w:color w:val="000000" w:themeColor="text1" w:themeTint="FF" w:themeShade="FF"/>
                <w:sz w:val="22"/>
                <w:szCs w:val="22"/>
              </w:rPr>
              <w:t>2023</w:t>
            </w:r>
          </w:p>
        </w:tc>
        <w:tc>
          <w:tcPr>
            <w:cnfStyle w:val="000000000000" w:firstRow="0" w:lastRow="0" w:firstColumn="0" w:lastColumn="0" w:oddVBand="0" w:evenVBand="0" w:oddHBand="0" w:evenHBand="0" w:firstRowFirstColumn="0" w:firstRowLastColumn="0" w:lastRowFirstColumn="0" w:lastRowLastColumn="0"/>
            <w:tcW w:w="1740" w:type="dxa"/>
            <w:tcMar/>
          </w:tcPr>
          <w:p w:rsidR="4EF34917" w:rsidP="4EF34917" w:rsidRDefault="4EF34917" w14:paraId="641F8F1D" w14:textId="78FCAB8B">
            <w:pPr>
              <w:spacing w:before="0" w:beforeAutospacing="off" w:after="0" w:afterAutospacing="off"/>
              <w:jc w:val="right"/>
            </w:pPr>
            <w:r w:rsidRPr="4EF34917" w:rsidR="4EF34917">
              <w:rPr>
                <w:rFonts w:ascii="Aptos Narrow" w:hAnsi="Aptos Narrow" w:eastAsia="Aptos Narrow" w:cs="Aptos Narrow"/>
                <w:b w:val="1"/>
                <w:bCs w:val="1"/>
                <w:color w:val="000000" w:themeColor="text1" w:themeTint="FF" w:themeShade="FF"/>
                <w:sz w:val="22"/>
                <w:szCs w:val="22"/>
              </w:rPr>
              <w:t>2024</w:t>
            </w:r>
          </w:p>
        </w:tc>
      </w:tr>
      <w:tr w:rsidR="4EF34917" w:rsidTr="4EF34917" w14:paraId="3B5831C6">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4EF34917" w:rsidP="4EF34917" w:rsidRDefault="4EF34917" w14:paraId="0ECBAEE6" w14:textId="1C38E3B2">
            <w:pPr>
              <w:spacing w:before="0" w:beforeAutospacing="off" w:after="0" w:afterAutospacing="off"/>
            </w:pPr>
            <w:r w:rsidRPr="4EF34917" w:rsidR="4EF34917">
              <w:rPr>
                <w:rFonts w:ascii="Aptos Narrow" w:hAnsi="Aptos Narrow" w:eastAsia="Aptos Narrow" w:cs="Aptos Narrow"/>
                <w:b w:val="1"/>
                <w:bCs w:val="1"/>
                <w:color w:val="000000" w:themeColor="text1" w:themeTint="FF" w:themeShade="FF"/>
                <w:sz w:val="22"/>
                <w:szCs w:val="22"/>
              </w:rPr>
              <w:t>Book value per share</w:t>
            </w:r>
          </w:p>
        </w:tc>
        <w:tc>
          <w:tcPr>
            <w:cnfStyle w:val="000000000000" w:firstRow="0" w:lastRow="0" w:firstColumn="0" w:lastColumn="0" w:oddVBand="0" w:evenVBand="0" w:oddHBand="0" w:evenHBand="0" w:firstRowFirstColumn="0" w:firstRowLastColumn="0" w:lastRowFirstColumn="0" w:lastRowLastColumn="0"/>
            <w:tcW w:w="1785" w:type="dxa"/>
            <w:tcMar/>
          </w:tcPr>
          <w:p w:rsidR="4EF34917" w:rsidP="4EF34917" w:rsidRDefault="4EF34917" w14:paraId="097FE3F6" w14:textId="77A741F8">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28.83</w:t>
            </w:r>
          </w:p>
        </w:tc>
        <w:tc>
          <w:tcPr>
            <w:cnfStyle w:val="000000000000" w:firstRow="0" w:lastRow="0" w:firstColumn="0" w:lastColumn="0" w:oddVBand="0" w:evenVBand="0" w:oddHBand="0" w:evenHBand="0" w:firstRowFirstColumn="0" w:firstRowLastColumn="0" w:lastRowFirstColumn="0" w:lastRowLastColumn="0"/>
            <w:tcW w:w="1395" w:type="dxa"/>
            <w:tcMar/>
          </w:tcPr>
          <w:p w:rsidR="4EF34917" w:rsidP="4EF34917" w:rsidRDefault="4EF34917" w14:paraId="693C2CE7" w14:textId="7D12A414">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27.22</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78305F49" w14:textId="3539687F">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24.40</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567BA022" w14:textId="15D6AC6C">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29.09</w:t>
            </w:r>
          </w:p>
        </w:tc>
        <w:tc>
          <w:tcPr>
            <w:cnfStyle w:val="000000000000" w:firstRow="0" w:lastRow="0" w:firstColumn="0" w:lastColumn="0" w:oddVBand="0" w:evenVBand="0" w:oddHBand="0" w:evenHBand="0" w:firstRowFirstColumn="0" w:firstRowLastColumn="0" w:lastRowFirstColumn="0" w:lastRowLastColumn="0"/>
            <w:tcW w:w="1740" w:type="dxa"/>
            <w:tcMar/>
          </w:tcPr>
          <w:p w:rsidR="4EF34917" w:rsidP="4EF34917" w:rsidRDefault="4EF34917" w14:paraId="3A9783F9" w14:textId="15F771F3">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32.19</w:t>
            </w:r>
          </w:p>
        </w:tc>
      </w:tr>
      <w:tr w:rsidR="4EF34917" w:rsidTr="4EF34917" w14:paraId="741BFC86">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4EF34917" w:rsidP="4EF34917" w:rsidRDefault="4EF34917" w14:paraId="112EA789" w14:textId="3B7CF0FA">
            <w:pPr>
              <w:spacing w:before="0" w:beforeAutospacing="off" w:after="0" w:afterAutospacing="off"/>
            </w:pPr>
            <w:r w:rsidRPr="4EF34917" w:rsidR="4EF34917">
              <w:rPr>
                <w:rFonts w:ascii="Aptos Narrow" w:hAnsi="Aptos Narrow" w:eastAsia="Aptos Narrow" w:cs="Aptos Narrow"/>
                <w:b w:val="1"/>
                <w:bCs w:val="1"/>
                <w:color w:val="000000" w:themeColor="text1" w:themeTint="FF" w:themeShade="FF"/>
                <w:sz w:val="22"/>
                <w:szCs w:val="22"/>
              </w:rPr>
              <w:t>Market cap (millions)</w:t>
            </w:r>
          </w:p>
        </w:tc>
        <w:tc>
          <w:tcPr>
            <w:cnfStyle w:val="000000000000" w:firstRow="0" w:lastRow="0" w:firstColumn="0" w:lastColumn="0" w:oddVBand="0" w:evenVBand="0" w:oddHBand="0" w:evenHBand="0" w:firstRowFirstColumn="0" w:firstRowLastColumn="0" w:lastRowFirstColumn="0" w:lastRowLastColumn="0"/>
            <w:tcW w:w="1785" w:type="dxa"/>
            <w:tcMar/>
          </w:tcPr>
          <w:p w:rsidR="4EF34917" w:rsidP="4EF34917" w:rsidRDefault="4EF34917" w14:paraId="7E9DCED9" w14:textId="170CDB01">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90748.05</w:t>
            </w:r>
          </w:p>
        </w:tc>
        <w:tc>
          <w:tcPr>
            <w:cnfStyle w:val="000000000000" w:firstRow="0" w:lastRow="0" w:firstColumn="0" w:lastColumn="0" w:oddVBand="0" w:evenVBand="0" w:oddHBand="0" w:evenHBand="0" w:firstRowFirstColumn="0" w:firstRowLastColumn="0" w:lastRowFirstColumn="0" w:lastRowLastColumn="0"/>
            <w:tcW w:w="1395" w:type="dxa"/>
            <w:tcMar/>
          </w:tcPr>
          <w:p w:rsidR="4EF34917" w:rsidP="4EF34917" w:rsidRDefault="4EF34917" w14:paraId="1854774F" w14:textId="1D712D9F">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102587.87</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2980161A" w14:textId="3D5F6670">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77565.15</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3352B012" w14:textId="5AE605CD">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67172.73</w:t>
            </w:r>
          </w:p>
        </w:tc>
        <w:tc>
          <w:tcPr>
            <w:cnfStyle w:val="000000000000" w:firstRow="0" w:lastRow="0" w:firstColumn="0" w:lastColumn="0" w:oddVBand="0" w:evenVBand="0" w:oddHBand="0" w:evenHBand="0" w:firstRowFirstColumn="0" w:firstRowLastColumn="0" w:lastRowFirstColumn="0" w:lastRowLastColumn="0"/>
            <w:tcW w:w="1740" w:type="dxa"/>
            <w:tcMar/>
          </w:tcPr>
          <w:p w:rsidR="4EF34917" w:rsidP="4EF34917" w:rsidRDefault="4EF34917" w14:paraId="455FCD08" w14:textId="540C9AD5">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62831.80</w:t>
            </w:r>
          </w:p>
        </w:tc>
      </w:tr>
      <w:tr w:rsidR="4EF34917" w:rsidTr="4EF34917" w14:paraId="5DB9C159">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4EF34917" w:rsidP="4EF34917" w:rsidRDefault="4EF34917" w14:paraId="4F03D637" w14:textId="055FD44D">
            <w:pPr>
              <w:spacing w:before="0" w:beforeAutospacing="off" w:after="0" w:afterAutospacing="off"/>
            </w:pPr>
            <w:r w:rsidRPr="4EF34917" w:rsidR="4EF34917">
              <w:rPr>
                <w:rFonts w:ascii="Aptos Narrow" w:hAnsi="Aptos Narrow" w:eastAsia="Aptos Narrow" w:cs="Aptos Narrow"/>
                <w:b w:val="1"/>
                <w:bCs w:val="1"/>
                <w:color w:val="000000" w:themeColor="text1" w:themeTint="FF" w:themeShade="FF"/>
                <w:sz w:val="22"/>
                <w:szCs w:val="22"/>
              </w:rPr>
              <w:t>Price to earning</w:t>
            </w:r>
          </w:p>
        </w:tc>
        <w:tc>
          <w:tcPr>
            <w:cnfStyle w:val="000000000000" w:firstRow="0" w:lastRow="0" w:firstColumn="0" w:lastColumn="0" w:oddVBand="0" w:evenVBand="0" w:oddHBand="0" w:evenHBand="0" w:firstRowFirstColumn="0" w:firstRowLastColumn="0" w:lastRowFirstColumn="0" w:lastRowLastColumn="0"/>
            <w:tcW w:w="1785" w:type="dxa"/>
            <w:tcMar/>
          </w:tcPr>
          <w:p w:rsidR="4EF34917" w:rsidP="4EF34917" w:rsidRDefault="4EF34917" w14:paraId="210DC3F2" w14:textId="117002F7">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20.97</w:t>
            </w:r>
          </w:p>
        </w:tc>
        <w:tc>
          <w:tcPr>
            <w:cnfStyle w:val="000000000000" w:firstRow="0" w:lastRow="0" w:firstColumn="0" w:lastColumn="0" w:oddVBand="0" w:evenVBand="0" w:oddHBand="0" w:evenHBand="0" w:firstRowFirstColumn="0" w:firstRowLastColumn="0" w:lastRowFirstColumn="0" w:lastRowLastColumn="0"/>
            <w:tcW w:w="1395" w:type="dxa"/>
            <w:tcMar/>
          </w:tcPr>
          <w:p w:rsidR="4EF34917" w:rsidP="4EF34917" w:rsidRDefault="4EF34917" w14:paraId="1A515128" w14:textId="1F77CE6E">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15.44</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420B54D6" w14:textId="27D20218">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28.18</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5E223FF9" w14:textId="55325E2C">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16.27</w:t>
            </w:r>
          </w:p>
        </w:tc>
        <w:tc>
          <w:tcPr>
            <w:cnfStyle w:val="000000000000" w:firstRow="0" w:lastRow="0" w:firstColumn="0" w:lastColumn="0" w:oddVBand="0" w:evenVBand="0" w:oddHBand="0" w:evenHBand="0" w:firstRowFirstColumn="0" w:firstRowLastColumn="0" w:lastRowFirstColumn="0" w:lastRowLastColumn="0"/>
            <w:tcW w:w="1740" w:type="dxa"/>
            <w:tcMar/>
          </w:tcPr>
          <w:p w:rsidR="4EF34917" w:rsidP="4EF34917" w:rsidRDefault="4EF34917" w14:paraId="39ED6CE6" w14:textId="4911FF32">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15.57</w:t>
            </w:r>
          </w:p>
        </w:tc>
      </w:tr>
      <w:tr w:rsidR="4EF34917" w:rsidTr="4EF34917" w14:paraId="1CB50810">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4EF34917" w:rsidP="4EF34917" w:rsidRDefault="4EF34917" w14:paraId="6A7EDE9C" w14:textId="226AD0AA">
            <w:pPr>
              <w:spacing w:before="0" w:beforeAutospacing="off" w:after="0" w:afterAutospacing="off"/>
            </w:pPr>
            <w:r w:rsidRPr="4EF34917" w:rsidR="4EF34917">
              <w:rPr>
                <w:rFonts w:ascii="Aptos Narrow" w:hAnsi="Aptos Narrow" w:eastAsia="Aptos Narrow" w:cs="Aptos Narrow"/>
                <w:b w:val="1"/>
                <w:bCs w:val="1"/>
                <w:color w:val="000000" w:themeColor="text1" w:themeTint="FF" w:themeShade="FF"/>
                <w:sz w:val="22"/>
                <w:szCs w:val="22"/>
              </w:rPr>
              <w:t>price to book</w:t>
            </w:r>
          </w:p>
        </w:tc>
        <w:tc>
          <w:tcPr>
            <w:cnfStyle w:val="000000000000" w:firstRow="0" w:lastRow="0" w:firstColumn="0" w:lastColumn="0" w:oddVBand="0" w:evenVBand="0" w:oddHBand="0" w:evenHBand="0" w:firstRowFirstColumn="0" w:firstRowLastColumn="0" w:lastRowFirstColumn="0" w:lastRowLastColumn="0"/>
            <w:tcW w:w="1785" w:type="dxa"/>
            <w:tcMar/>
          </w:tcPr>
          <w:p w:rsidR="4EF34917" w:rsidP="4EF34917" w:rsidRDefault="4EF34917" w14:paraId="65F2D9D4" w14:textId="3300D25A">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6.28</w:t>
            </w:r>
          </w:p>
        </w:tc>
        <w:tc>
          <w:tcPr>
            <w:cnfStyle w:val="000000000000" w:firstRow="0" w:lastRow="0" w:firstColumn="0" w:lastColumn="0" w:oddVBand="0" w:evenVBand="0" w:oddHBand="0" w:evenHBand="0" w:firstRowFirstColumn="0" w:firstRowLastColumn="0" w:lastRowFirstColumn="0" w:lastRowLastColumn="0"/>
            <w:tcW w:w="1395" w:type="dxa"/>
            <w:tcMar/>
          </w:tcPr>
          <w:p w:rsidR="4EF34917" w:rsidP="4EF34917" w:rsidRDefault="4EF34917" w14:paraId="3778B0E0" w14:textId="729E0950">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8.00</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475221A5" w14:textId="0597A095">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6.91</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67426ED2" w14:textId="1F9060DA">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5.00</w:t>
            </w:r>
          </w:p>
        </w:tc>
        <w:tc>
          <w:tcPr>
            <w:cnfStyle w:val="000000000000" w:firstRow="0" w:lastRow="0" w:firstColumn="0" w:lastColumn="0" w:oddVBand="0" w:evenVBand="0" w:oddHBand="0" w:evenHBand="0" w:firstRowFirstColumn="0" w:firstRowLastColumn="0" w:lastRowFirstColumn="0" w:lastRowLastColumn="0"/>
            <w:tcW w:w="1740" w:type="dxa"/>
            <w:tcMar/>
          </w:tcPr>
          <w:p w:rsidR="4EF34917" w:rsidP="4EF34917" w:rsidRDefault="4EF34917" w14:paraId="69E58E52" w14:textId="6FB1F413">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4.28</w:t>
            </w:r>
          </w:p>
        </w:tc>
      </w:tr>
      <w:tr w:rsidR="4EF34917" w:rsidTr="4EF34917" w14:paraId="4B3E7D06">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4EF34917" w:rsidP="4EF34917" w:rsidRDefault="4EF34917" w14:paraId="61902246" w14:textId="43F7DCE0">
            <w:pPr>
              <w:spacing w:before="0" w:beforeAutospacing="off" w:after="0" w:afterAutospacing="off"/>
            </w:pPr>
            <w:r w:rsidRPr="4EF34917" w:rsidR="4EF34917">
              <w:rPr>
                <w:rFonts w:ascii="Aptos Narrow" w:hAnsi="Aptos Narrow" w:eastAsia="Aptos Narrow" w:cs="Aptos Narrow"/>
                <w:b w:val="1"/>
                <w:bCs w:val="1"/>
                <w:color w:val="000000" w:themeColor="text1" w:themeTint="FF" w:themeShade="FF"/>
                <w:sz w:val="22"/>
                <w:szCs w:val="22"/>
              </w:rPr>
              <w:t>Market to book</w:t>
            </w:r>
          </w:p>
        </w:tc>
        <w:tc>
          <w:tcPr>
            <w:cnfStyle w:val="000000000000" w:firstRow="0" w:lastRow="0" w:firstColumn="0" w:lastColumn="0" w:oddVBand="0" w:evenVBand="0" w:oddHBand="0" w:evenHBand="0" w:firstRowFirstColumn="0" w:firstRowLastColumn="0" w:lastRowFirstColumn="0" w:lastRowLastColumn="0"/>
            <w:tcW w:w="1785" w:type="dxa"/>
            <w:tcMar/>
          </w:tcPr>
          <w:p w:rsidR="4EF34917" w:rsidP="4EF34917" w:rsidRDefault="4EF34917" w14:paraId="0678FC95" w14:textId="35D8B872">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6.28</w:t>
            </w:r>
          </w:p>
        </w:tc>
        <w:tc>
          <w:tcPr>
            <w:cnfStyle w:val="000000000000" w:firstRow="0" w:lastRow="0" w:firstColumn="0" w:lastColumn="0" w:oddVBand="0" w:evenVBand="0" w:oddHBand="0" w:evenHBand="0" w:firstRowFirstColumn="0" w:firstRowLastColumn="0" w:lastRowFirstColumn="0" w:lastRowLastColumn="0"/>
            <w:tcW w:w="1395" w:type="dxa"/>
            <w:tcMar/>
          </w:tcPr>
          <w:p w:rsidR="4EF34917" w:rsidP="4EF34917" w:rsidRDefault="4EF34917" w14:paraId="45C114EA" w14:textId="005C2220">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8.00</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2F68EA8A" w14:textId="73AA3405">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6.91</w:t>
            </w:r>
          </w:p>
        </w:tc>
        <w:tc>
          <w:tcPr>
            <w:cnfStyle w:val="000000000000" w:firstRow="0" w:lastRow="0" w:firstColumn="0" w:lastColumn="0" w:oddVBand="0" w:evenVBand="0" w:oddHBand="0" w:evenHBand="0" w:firstRowFirstColumn="0" w:firstRowLastColumn="0" w:lastRowFirstColumn="0" w:lastRowLastColumn="0"/>
            <w:tcW w:w="1335" w:type="dxa"/>
            <w:tcMar/>
          </w:tcPr>
          <w:p w:rsidR="4EF34917" w:rsidP="4EF34917" w:rsidRDefault="4EF34917" w14:paraId="4663F00A" w14:textId="59C984F7">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5.00</w:t>
            </w:r>
          </w:p>
        </w:tc>
        <w:tc>
          <w:tcPr>
            <w:cnfStyle w:val="000000000000" w:firstRow="0" w:lastRow="0" w:firstColumn="0" w:lastColumn="0" w:oddVBand="0" w:evenVBand="0" w:oddHBand="0" w:evenHBand="0" w:firstRowFirstColumn="0" w:firstRowLastColumn="0" w:lastRowFirstColumn="0" w:lastRowLastColumn="0"/>
            <w:tcW w:w="1740" w:type="dxa"/>
            <w:tcMar/>
          </w:tcPr>
          <w:p w:rsidR="4EF34917" w:rsidP="4EF34917" w:rsidRDefault="4EF34917" w14:paraId="79673C0B" w14:textId="77C17363">
            <w:pPr>
              <w:spacing w:before="0" w:beforeAutospacing="off" w:after="0" w:afterAutospacing="off"/>
              <w:jc w:val="right"/>
            </w:pPr>
            <w:r w:rsidRPr="4EF34917" w:rsidR="4EF34917">
              <w:rPr>
                <w:rFonts w:ascii="Aptos Narrow" w:hAnsi="Aptos Narrow" w:eastAsia="Aptos Narrow" w:cs="Aptos Narrow"/>
                <w:color w:val="000000" w:themeColor="text1" w:themeTint="FF" w:themeShade="FF"/>
                <w:sz w:val="22"/>
                <w:szCs w:val="22"/>
              </w:rPr>
              <w:t>4.28</w:t>
            </w:r>
          </w:p>
        </w:tc>
      </w:tr>
    </w:tbl>
    <w:p w:rsidR="01CF5F33" w:rsidP="4EF34917" w:rsidRDefault="01CF5F33" w14:paraId="58F0F193" w14:textId="2C7F72A3">
      <w:pPr>
        <w:bidi w:val="0"/>
        <w:spacing w:before="0" w:beforeAutospacing="off" w:after="160" w:afterAutospacing="off" w:line="480" w:lineRule="auto"/>
        <w:jc w:val="left"/>
      </w:pPr>
      <w:r w:rsidRPr="4EF34917" w:rsidR="01CF5F33">
        <w:rPr>
          <w:rFonts w:ascii="Aptos Display" w:hAnsi="Aptos Display" w:eastAsia="Aptos Display" w:cs="Aptos Display"/>
          <w:noProof w:val="0"/>
          <w:sz w:val="24"/>
          <w:szCs w:val="24"/>
          <w:lang w:val="en-US"/>
        </w:rPr>
        <w:t xml:space="preserve"> </w:t>
      </w:r>
    </w:p>
    <w:p w:rsidR="01CF5F33" w:rsidP="4EF34917" w:rsidRDefault="01CF5F33" w14:paraId="48FB7536" w14:textId="27A6A803">
      <w:pPr>
        <w:bidi w:val="0"/>
        <w:spacing w:before="0" w:beforeAutospacing="off" w:after="160" w:afterAutospacing="off" w:line="480" w:lineRule="auto"/>
        <w:ind w:firstLine="720"/>
        <w:jc w:val="left"/>
      </w:pPr>
      <w:r w:rsidRPr="4EF34917" w:rsidR="01CF5F33">
        <w:rPr>
          <w:rFonts w:ascii="Times New Roman" w:hAnsi="Times New Roman" w:eastAsia="Times New Roman" w:cs="Times New Roman"/>
          <w:noProof w:val="0"/>
          <w:sz w:val="24"/>
          <w:szCs w:val="24"/>
          <w:lang w:val="en-US"/>
        </w:rPr>
        <w:t>The stock</w:t>
      </w:r>
      <w:r w:rsidRPr="4EF34917" w:rsidR="01CF5F33">
        <w:rPr>
          <w:rFonts w:ascii="Times New Roman" w:hAnsi="Times New Roman" w:eastAsia="Times New Roman" w:cs="Times New Roman"/>
          <w:noProof w:val="0"/>
          <w:sz w:val="24"/>
          <w:szCs w:val="24"/>
          <w:lang w:val="en-US"/>
        </w:rPr>
        <w:t xml:space="preserve"> price dates used </w:t>
      </w:r>
      <w:r w:rsidRPr="4EF34917" w:rsidR="01CF5F33">
        <w:rPr>
          <w:rFonts w:ascii="Times New Roman" w:hAnsi="Times New Roman" w:eastAsia="Times New Roman" w:cs="Times New Roman"/>
          <w:noProof w:val="0"/>
          <w:sz w:val="24"/>
          <w:szCs w:val="24"/>
          <w:lang w:val="en-US"/>
        </w:rPr>
        <w:t>are</w:t>
      </w:r>
      <w:r w:rsidRPr="4EF34917" w:rsidR="01CF5F33">
        <w:rPr>
          <w:rFonts w:ascii="Times New Roman" w:hAnsi="Times New Roman" w:eastAsia="Times New Roman" w:cs="Times New Roman"/>
          <w:noProof w:val="0"/>
          <w:sz w:val="24"/>
          <w:szCs w:val="24"/>
          <w:lang w:val="en-US"/>
        </w:rPr>
        <w:t xml:space="preserve"> January 29, 2021, January 28, 2022, January 27, 2023, February 2, 2024, and January 31, 2025. We found this information on Yahoo </w:t>
      </w:r>
      <w:r w:rsidRPr="4EF34917" w:rsidR="2602500F">
        <w:rPr>
          <w:rFonts w:ascii="Times New Roman" w:hAnsi="Times New Roman" w:eastAsia="Times New Roman" w:cs="Times New Roman"/>
          <w:noProof w:val="0"/>
          <w:sz w:val="24"/>
          <w:szCs w:val="24"/>
          <w:lang w:val="en-US"/>
        </w:rPr>
        <w:t>finance. These</w:t>
      </w:r>
      <w:r w:rsidRPr="4EF34917" w:rsidR="01CF5F33">
        <w:rPr>
          <w:rFonts w:ascii="Times New Roman" w:hAnsi="Times New Roman" w:eastAsia="Times New Roman" w:cs="Times New Roman"/>
          <w:noProof w:val="0"/>
          <w:sz w:val="24"/>
          <w:szCs w:val="24"/>
          <w:lang w:val="en-US"/>
        </w:rPr>
        <w:t xml:space="preserve"> dates align with the balance sheet information from Target's filings on SEC EDGAR.</w:t>
      </w:r>
    </w:p>
    <w:p w:rsidR="01CF5F33" w:rsidP="4EF34917" w:rsidRDefault="01CF5F33" w14:paraId="352058F1" w14:textId="5F7E9F35">
      <w:pPr>
        <w:bidi w:val="0"/>
        <w:spacing w:before="0" w:beforeAutospacing="off" w:after="160" w:afterAutospacing="off" w:line="480" w:lineRule="auto"/>
        <w:ind w:firstLine="720"/>
        <w:jc w:val="left"/>
      </w:pPr>
      <w:r w:rsidRPr="4EF34917" w:rsidR="01CF5F33">
        <w:rPr>
          <w:rFonts w:ascii="Times New Roman" w:hAnsi="Times New Roman" w:eastAsia="Times New Roman" w:cs="Times New Roman"/>
          <w:noProof w:val="0"/>
          <w:sz w:val="24"/>
          <w:szCs w:val="24"/>
          <w:lang w:val="en-US"/>
        </w:rPr>
        <w:t>To calculate the price to earnings ratio, we divided the stock price by diluted earnings per share (EPS)</w:t>
      </w:r>
      <w:r w:rsidRPr="4EF34917" w:rsidR="01CF5F33">
        <w:rPr>
          <w:rFonts w:ascii="Times New Roman" w:hAnsi="Times New Roman" w:eastAsia="Times New Roman" w:cs="Times New Roman"/>
          <w:noProof w:val="0"/>
          <w:sz w:val="24"/>
          <w:szCs w:val="24"/>
          <w:lang w:val="en-US"/>
        </w:rPr>
        <w:t xml:space="preserve">.  </w:t>
      </w:r>
      <w:r w:rsidRPr="4EF34917" w:rsidR="01CF5F33">
        <w:rPr>
          <w:rFonts w:ascii="Times New Roman" w:hAnsi="Times New Roman" w:eastAsia="Times New Roman" w:cs="Times New Roman"/>
          <w:noProof w:val="0"/>
          <w:sz w:val="24"/>
          <w:szCs w:val="24"/>
          <w:lang w:val="en-US"/>
        </w:rPr>
        <w:t xml:space="preserve">The ratio was 21.0, 15.4, 28.2, 16.3, and 15.6 from FY2020 to FY2024. These ratios tell us how much investors were willing to pay for each </w:t>
      </w:r>
      <w:r w:rsidRPr="4EF34917" w:rsidR="01CF5F33">
        <w:rPr>
          <w:rFonts w:ascii="Times New Roman" w:hAnsi="Times New Roman" w:eastAsia="Times New Roman" w:cs="Times New Roman"/>
          <w:noProof w:val="0"/>
          <w:sz w:val="24"/>
          <w:szCs w:val="24"/>
          <w:lang w:val="en-US"/>
        </w:rPr>
        <w:t>portion</w:t>
      </w:r>
      <w:r w:rsidRPr="4EF34917" w:rsidR="01CF5F33">
        <w:rPr>
          <w:rFonts w:ascii="Times New Roman" w:hAnsi="Times New Roman" w:eastAsia="Times New Roman" w:cs="Times New Roman"/>
          <w:noProof w:val="0"/>
          <w:sz w:val="24"/>
          <w:szCs w:val="24"/>
          <w:lang w:val="en-US"/>
        </w:rPr>
        <w:t xml:space="preserve"> </w:t>
      </w:r>
      <w:r w:rsidRPr="4EF34917" w:rsidR="53CD1FB3">
        <w:rPr>
          <w:rFonts w:ascii="Times New Roman" w:hAnsi="Times New Roman" w:eastAsia="Times New Roman" w:cs="Times New Roman"/>
          <w:noProof w:val="0"/>
          <w:sz w:val="24"/>
          <w:szCs w:val="24"/>
          <w:lang w:val="en-US"/>
        </w:rPr>
        <w:t>of</w:t>
      </w:r>
      <w:r w:rsidRPr="4EF34917" w:rsidR="01CF5F33">
        <w:rPr>
          <w:rFonts w:ascii="Times New Roman" w:hAnsi="Times New Roman" w:eastAsia="Times New Roman" w:cs="Times New Roman"/>
          <w:noProof w:val="0"/>
          <w:sz w:val="24"/>
          <w:szCs w:val="24"/>
          <w:lang w:val="en-US"/>
        </w:rPr>
        <w:t xml:space="preserve"> </w:t>
      </w:r>
      <w:bookmarkStart w:name="_Int_1fb537gb" w:id="1780915452"/>
      <w:r w:rsidRPr="4EF34917" w:rsidR="01CF5F33">
        <w:rPr>
          <w:rFonts w:ascii="Times New Roman" w:hAnsi="Times New Roman" w:eastAsia="Times New Roman" w:cs="Times New Roman"/>
          <w:noProof w:val="0"/>
          <w:sz w:val="24"/>
          <w:szCs w:val="24"/>
          <w:lang w:val="en-US"/>
        </w:rPr>
        <w:t>targe</w:t>
      </w:r>
      <w:r w:rsidRPr="4EF34917" w:rsidR="3B62DFE8">
        <w:rPr>
          <w:rFonts w:ascii="Times New Roman" w:hAnsi="Times New Roman" w:eastAsia="Times New Roman" w:cs="Times New Roman"/>
          <w:noProof w:val="0"/>
          <w:sz w:val="24"/>
          <w:szCs w:val="24"/>
          <w:lang w:val="en-US"/>
        </w:rPr>
        <w:t>t's</w:t>
      </w:r>
      <w:bookmarkEnd w:id="1780915452"/>
      <w:r w:rsidRPr="4EF34917" w:rsidR="01CF5F33">
        <w:rPr>
          <w:rFonts w:ascii="Times New Roman" w:hAnsi="Times New Roman" w:eastAsia="Times New Roman" w:cs="Times New Roman"/>
          <w:noProof w:val="0"/>
          <w:sz w:val="24"/>
          <w:szCs w:val="24"/>
          <w:lang w:val="en-US"/>
        </w:rPr>
        <w:t xml:space="preserve"> earnings per share. Price to earnings moved in the opposite direction of earnings. It was at its lowest in FY2021 at 15.4 when earnings per share reached a record of $14.10, </w:t>
      </w:r>
      <w:r w:rsidRPr="4EF34917" w:rsidR="4A839704">
        <w:rPr>
          <w:rFonts w:ascii="Times New Roman" w:hAnsi="Times New Roman" w:eastAsia="Times New Roman" w:cs="Times New Roman"/>
          <w:noProof w:val="0"/>
          <w:sz w:val="24"/>
          <w:szCs w:val="24"/>
          <w:lang w:val="en-US"/>
        </w:rPr>
        <w:t xml:space="preserve">because investors did not </w:t>
      </w:r>
      <w:r w:rsidRPr="4EF34917" w:rsidR="01CF5F33">
        <w:rPr>
          <w:rFonts w:ascii="Times New Roman" w:hAnsi="Times New Roman" w:eastAsia="Times New Roman" w:cs="Times New Roman"/>
          <w:noProof w:val="0"/>
          <w:sz w:val="24"/>
          <w:szCs w:val="24"/>
          <w:lang w:val="en-US"/>
        </w:rPr>
        <w:t xml:space="preserve">expect those earnings to last. The highest ratio target had within this </w:t>
      </w:r>
      <w:r w:rsidRPr="4EF34917" w:rsidR="01CF5F33">
        <w:rPr>
          <w:rFonts w:ascii="Times New Roman" w:hAnsi="Times New Roman" w:eastAsia="Times New Roman" w:cs="Times New Roman"/>
          <w:noProof w:val="0"/>
          <w:sz w:val="24"/>
          <w:szCs w:val="24"/>
          <w:lang w:val="en-US"/>
        </w:rPr>
        <w:t>time frame</w:t>
      </w:r>
      <w:r w:rsidRPr="4EF34917" w:rsidR="01CF5F33">
        <w:rPr>
          <w:rFonts w:ascii="Times New Roman" w:hAnsi="Times New Roman" w:eastAsia="Times New Roman" w:cs="Times New Roman"/>
          <w:noProof w:val="0"/>
          <w:sz w:val="24"/>
          <w:szCs w:val="24"/>
          <w:lang w:val="en-US"/>
        </w:rPr>
        <w:t xml:space="preserve"> was 28.2 in FY2022. This happened when </w:t>
      </w:r>
      <w:r w:rsidRPr="4EF34917" w:rsidR="6B83FAA9">
        <w:rPr>
          <w:rFonts w:ascii="Times New Roman" w:hAnsi="Times New Roman" w:eastAsia="Times New Roman" w:cs="Times New Roman"/>
          <w:noProof w:val="0"/>
          <w:sz w:val="24"/>
          <w:szCs w:val="24"/>
          <w:lang w:val="en-US"/>
        </w:rPr>
        <w:t xml:space="preserve">earnings per </w:t>
      </w:r>
      <w:bookmarkStart w:name="_Int_AUYxWIVW" w:id="1566136576"/>
      <w:r w:rsidRPr="4EF34917" w:rsidR="01CF5F33">
        <w:rPr>
          <w:rFonts w:ascii="Times New Roman" w:hAnsi="Times New Roman" w:eastAsia="Times New Roman" w:cs="Times New Roman"/>
          <w:noProof w:val="0"/>
          <w:sz w:val="24"/>
          <w:szCs w:val="24"/>
          <w:lang w:val="en-US"/>
        </w:rPr>
        <w:t>share</w:t>
      </w:r>
      <w:bookmarkEnd w:id="1566136576"/>
      <w:r w:rsidRPr="4EF34917" w:rsidR="01CF5F33">
        <w:rPr>
          <w:rFonts w:ascii="Times New Roman" w:hAnsi="Times New Roman" w:eastAsia="Times New Roman" w:cs="Times New Roman"/>
          <w:noProof w:val="0"/>
          <w:sz w:val="24"/>
          <w:szCs w:val="24"/>
          <w:lang w:val="en-US"/>
        </w:rPr>
        <w:t xml:space="preserve"> fell to $5.98. </w:t>
      </w:r>
      <w:r w:rsidRPr="4EF34917" w:rsidR="01CF5F33">
        <w:rPr>
          <w:rFonts w:ascii="Times New Roman" w:hAnsi="Times New Roman" w:eastAsia="Times New Roman" w:cs="Times New Roman"/>
          <w:noProof w:val="0"/>
          <w:sz w:val="24"/>
          <w:szCs w:val="24"/>
          <w:lang w:val="en-US"/>
        </w:rPr>
        <w:t>At this time</w:t>
      </w:r>
      <w:r w:rsidRPr="4EF34917" w:rsidR="62468979">
        <w:rPr>
          <w:rFonts w:ascii="Times New Roman" w:hAnsi="Times New Roman" w:eastAsia="Times New Roman" w:cs="Times New Roman"/>
          <w:noProof w:val="0"/>
          <w:sz w:val="24"/>
          <w:szCs w:val="24"/>
          <w:lang w:val="en-US"/>
        </w:rPr>
        <w:t xml:space="preserve">, </w:t>
      </w:r>
      <w:r w:rsidRPr="4EF34917" w:rsidR="01CF5F33">
        <w:rPr>
          <w:rFonts w:ascii="Times New Roman" w:hAnsi="Times New Roman" w:eastAsia="Times New Roman" w:cs="Times New Roman"/>
          <w:noProof w:val="0"/>
          <w:sz w:val="24"/>
          <w:szCs w:val="24"/>
          <w:lang w:val="en-US"/>
        </w:rPr>
        <w:t>stock prices</w:t>
      </w:r>
      <w:r w:rsidRPr="4EF34917" w:rsidR="6074C8C2">
        <w:rPr>
          <w:rFonts w:ascii="Times New Roman" w:hAnsi="Times New Roman" w:eastAsia="Times New Roman" w:cs="Times New Roman"/>
          <w:noProof w:val="0"/>
          <w:sz w:val="24"/>
          <w:szCs w:val="24"/>
          <w:lang w:val="en-US"/>
        </w:rPr>
        <w:t xml:space="preserve"> only dropped</w:t>
      </w:r>
      <w:r w:rsidRPr="4EF34917" w:rsidR="01CF5F33">
        <w:rPr>
          <w:rFonts w:ascii="Times New Roman" w:hAnsi="Times New Roman" w:eastAsia="Times New Roman" w:cs="Times New Roman"/>
          <w:noProof w:val="0"/>
          <w:sz w:val="24"/>
          <w:szCs w:val="24"/>
          <w:lang w:val="en-US"/>
        </w:rPr>
        <w:t xml:space="preserve"> $168.51 because investors expect their earnings to recover.</w:t>
      </w:r>
      <w:r w:rsidRPr="4EF34917" w:rsidR="01CF5F33">
        <w:rPr>
          <w:rFonts w:ascii="Times New Roman" w:hAnsi="Times New Roman" w:eastAsia="Times New Roman" w:cs="Times New Roman"/>
          <w:noProof w:val="0"/>
          <w:sz w:val="24"/>
          <w:szCs w:val="24"/>
          <w:lang w:val="en-US"/>
        </w:rPr>
        <w:t xml:space="preserve"> In FY2023 and FY2024, </w:t>
      </w:r>
      <w:bookmarkStart w:name="_Int_8uqEkkSj" w:id="1441154237"/>
      <w:r w:rsidRPr="4EF34917" w:rsidR="01CF5F33">
        <w:rPr>
          <w:rFonts w:ascii="Times New Roman" w:hAnsi="Times New Roman" w:eastAsia="Times New Roman" w:cs="Times New Roman"/>
          <w:noProof w:val="0"/>
          <w:sz w:val="24"/>
          <w:szCs w:val="24"/>
          <w:lang w:val="en-US"/>
        </w:rPr>
        <w:t>price to</w:t>
      </w:r>
      <w:bookmarkEnd w:id="1441154237"/>
      <w:r w:rsidRPr="4EF34917" w:rsidR="01CF5F33">
        <w:rPr>
          <w:rFonts w:ascii="Times New Roman" w:hAnsi="Times New Roman" w:eastAsia="Times New Roman" w:cs="Times New Roman"/>
          <w:noProof w:val="0"/>
          <w:sz w:val="24"/>
          <w:szCs w:val="24"/>
          <w:lang w:val="en-US"/>
        </w:rPr>
        <w:t xml:space="preserve"> earnings settled at 16.</w:t>
      </w:r>
      <w:r w:rsidRPr="4EF34917" w:rsidR="61210AD7">
        <w:rPr>
          <w:rFonts w:ascii="Times New Roman" w:hAnsi="Times New Roman" w:eastAsia="Times New Roman" w:cs="Times New Roman"/>
          <w:noProof w:val="0"/>
          <w:sz w:val="24"/>
          <w:szCs w:val="24"/>
          <w:lang w:val="en-US"/>
        </w:rPr>
        <w:t>8</w:t>
      </w:r>
      <w:r w:rsidRPr="4EF34917" w:rsidR="01CF5F33">
        <w:rPr>
          <w:rFonts w:ascii="Times New Roman" w:hAnsi="Times New Roman" w:eastAsia="Times New Roman" w:cs="Times New Roman"/>
          <w:noProof w:val="0"/>
          <w:sz w:val="24"/>
          <w:szCs w:val="24"/>
          <w:lang w:val="en-US"/>
        </w:rPr>
        <w:t xml:space="preserve"> and 15.6 as earnings per share leveled off around $8.90 while the stock price continued to decline.</w:t>
      </w:r>
    </w:p>
    <w:p w:rsidR="01CF5F33" w:rsidP="4EF34917" w:rsidRDefault="01CF5F33" w14:paraId="36E0D9B8" w14:textId="00E65B7F">
      <w:pPr>
        <w:bidi w:val="0"/>
        <w:spacing w:before="0" w:beforeAutospacing="off" w:after="160" w:afterAutospacing="off" w:line="480" w:lineRule="auto"/>
        <w:ind w:firstLine="720"/>
        <w:jc w:val="left"/>
      </w:pPr>
      <w:r w:rsidRPr="4EF34917" w:rsidR="01CF5F33">
        <w:rPr>
          <w:rFonts w:ascii="Times New Roman" w:hAnsi="Times New Roman" w:eastAsia="Times New Roman" w:cs="Times New Roman"/>
          <w:noProof w:val="0"/>
          <w:sz w:val="24"/>
          <w:szCs w:val="24"/>
          <w:lang w:val="en-US"/>
        </w:rPr>
        <w:t>We calculated the price to book ratio by dividing the stock price by book value per share. Book value per share was calculated by dividing stockholders' equity by outstanding shares. These calculations measure how the stock price compares to its value on paper. The ratio peaked at 8.00 in FY2021 and then declined each year after, reaching a low of 4.28 in FY2024. This happened because the stock price dropped from $217.67 to $137.91 while book value per share increased to $32.19. Every year the ratio was well above 1.0, meaning investors valued Target higher than its stockholders' equity.</w:t>
      </w:r>
    </w:p>
    <w:p w:rsidR="01CF5F33" w:rsidP="4EF34917" w:rsidRDefault="01CF5F33" w14:paraId="1FF94B6E" w14:textId="5154440D">
      <w:pPr>
        <w:bidi w:val="0"/>
        <w:spacing w:before="0" w:beforeAutospacing="off" w:after="160" w:afterAutospacing="off" w:line="480" w:lineRule="auto"/>
        <w:ind w:firstLine="720"/>
        <w:jc w:val="left"/>
      </w:pPr>
      <w:r w:rsidRPr="4EF34917" w:rsidR="01CF5F33">
        <w:rPr>
          <w:rFonts w:ascii="Times New Roman" w:hAnsi="Times New Roman" w:eastAsia="Times New Roman" w:cs="Times New Roman"/>
          <w:noProof w:val="0"/>
          <w:sz w:val="24"/>
          <w:szCs w:val="24"/>
          <w:lang w:val="en-US"/>
        </w:rPr>
        <w:t xml:space="preserve">We calculated the market to book ratio by dividing market capitalization by stockholders' equity. </w:t>
      </w:r>
      <w:bookmarkStart w:name="_Int_Hvo6NKMO" w:id="1851146713"/>
      <w:r w:rsidRPr="4EF34917" w:rsidR="01CF5F33">
        <w:rPr>
          <w:rFonts w:ascii="Times New Roman" w:hAnsi="Times New Roman" w:eastAsia="Times New Roman" w:cs="Times New Roman"/>
          <w:noProof w:val="0"/>
          <w:sz w:val="24"/>
          <w:szCs w:val="24"/>
          <w:lang w:val="en-US"/>
        </w:rPr>
        <w:t>Market</w:t>
      </w:r>
      <w:bookmarkEnd w:id="1851146713"/>
      <w:r w:rsidRPr="4EF34917" w:rsidR="01CF5F33">
        <w:rPr>
          <w:rFonts w:ascii="Times New Roman" w:hAnsi="Times New Roman" w:eastAsia="Times New Roman" w:cs="Times New Roman"/>
          <w:noProof w:val="0"/>
          <w:sz w:val="24"/>
          <w:szCs w:val="24"/>
          <w:lang w:val="en-US"/>
        </w:rPr>
        <w:t xml:space="preserve"> cap was calculated by multiplying the stock price by outstanding shares. This ratio matches price to book every year because it makes the same comparison for the entire company instead of per share.</w:t>
      </w:r>
    </w:p>
    <w:p w:rsidR="01CF5F33" w:rsidP="4EF34917" w:rsidRDefault="01CF5F33" w14:paraId="6C039B02" w14:textId="1621B629">
      <w:pPr>
        <w:bidi w:val="0"/>
        <w:spacing w:before="0" w:beforeAutospacing="off" w:after="160" w:afterAutospacing="off" w:line="480" w:lineRule="auto"/>
        <w:ind w:firstLine="720"/>
        <w:jc w:val="left"/>
      </w:pPr>
      <w:r w:rsidRPr="4EF34917" w:rsidR="01CF5F33">
        <w:rPr>
          <w:rFonts w:ascii="Times New Roman" w:hAnsi="Times New Roman" w:eastAsia="Times New Roman" w:cs="Times New Roman"/>
          <w:noProof w:val="0"/>
          <w:sz w:val="24"/>
          <w:szCs w:val="24"/>
          <w:lang w:val="en-US"/>
        </w:rPr>
        <w:t>Target should focus on growing its earnings. In FY2023 earnings per share was $8.94 and in FY2024 earnings were $</w:t>
      </w:r>
      <w:r w:rsidRPr="4EF34917" w:rsidR="5681C296">
        <w:rPr>
          <w:rFonts w:ascii="Times New Roman" w:hAnsi="Times New Roman" w:eastAsia="Times New Roman" w:cs="Times New Roman"/>
          <w:noProof w:val="0"/>
          <w:sz w:val="24"/>
          <w:szCs w:val="24"/>
          <w:lang w:val="en-US"/>
        </w:rPr>
        <w:t>8.86,</w:t>
      </w:r>
      <w:r w:rsidRPr="4EF34917" w:rsidR="01CF5F33">
        <w:rPr>
          <w:rFonts w:ascii="Times New Roman" w:hAnsi="Times New Roman" w:eastAsia="Times New Roman" w:cs="Times New Roman"/>
          <w:noProof w:val="0"/>
          <w:sz w:val="24"/>
          <w:szCs w:val="24"/>
          <w:lang w:val="en-US"/>
        </w:rPr>
        <w:t xml:space="preserve"> making them </w:t>
      </w:r>
      <w:r w:rsidRPr="4EF34917" w:rsidR="01CF5F33">
        <w:rPr>
          <w:rFonts w:ascii="Times New Roman" w:hAnsi="Times New Roman" w:eastAsia="Times New Roman" w:cs="Times New Roman"/>
          <w:noProof w:val="0"/>
          <w:sz w:val="24"/>
          <w:szCs w:val="24"/>
          <w:lang w:val="en-US"/>
        </w:rPr>
        <w:t>relatively the</w:t>
      </w:r>
      <w:r w:rsidRPr="4EF34917" w:rsidR="01CF5F33">
        <w:rPr>
          <w:rFonts w:ascii="Times New Roman" w:hAnsi="Times New Roman" w:eastAsia="Times New Roman" w:cs="Times New Roman"/>
          <w:noProof w:val="0"/>
          <w:sz w:val="24"/>
          <w:szCs w:val="24"/>
          <w:lang w:val="en-US"/>
        </w:rPr>
        <w:t xml:space="preserve"> same.</w:t>
      </w:r>
      <w:r w:rsidRPr="4EF34917" w:rsidR="6F64CC78">
        <w:rPr>
          <w:rFonts w:ascii="Times New Roman" w:hAnsi="Times New Roman" w:eastAsia="Times New Roman" w:cs="Times New Roman"/>
          <w:noProof w:val="0"/>
          <w:sz w:val="24"/>
          <w:szCs w:val="24"/>
          <w:lang w:val="en-US"/>
        </w:rPr>
        <w:t xml:space="preserve"> While</w:t>
      </w:r>
      <w:r w:rsidRPr="4EF34917" w:rsidR="01CF5F33">
        <w:rPr>
          <w:rFonts w:ascii="Times New Roman" w:hAnsi="Times New Roman" w:eastAsia="Times New Roman" w:cs="Times New Roman"/>
          <w:noProof w:val="0"/>
          <w:sz w:val="24"/>
          <w:szCs w:val="24"/>
          <w:lang w:val="en-US"/>
        </w:rPr>
        <w:t xml:space="preserve"> the earnings per share stayed the same, stock price decreased from $145.49 to $137.91 This shows that keeping earnings steady is not enough to increase the stock price, so Target needs to work on growing </w:t>
      </w:r>
      <w:r w:rsidRPr="4EF34917" w:rsidR="01CF5F33">
        <w:rPr>
          <w:rFonts w:ascii="Times New Roman" w:hAnsi="Times New Roman" w:eastAsia="Times New Roman" w:cs="Times New Roman"/>
          <w:noProof w:val="0"/>
          <w:sz w:val="24"/>
          <w:szCs w:val="24"/>
          <w:lang w:val="en-US"/>
        </w:rPr>
        <w:t>it</w:t>
      </w:r>
      <w:r w:rsidRPr="4EF34917" w:rsidR="6B3FC0C2">
        <w:rPr>
          <w:rFonts w:ascii="Times New Roman" w:hAnsi="Times New Roman" w:eastAsia="Times New Roman" w:cs="Times New Roman"/>
          <w:noProof w:val="0"/>
          <w:sz w:val="24"/>
          <w:szCs w:val="24"/>
          <w:lang w:val="en-US"/>
        </w:rPr>
        <w:t>'</w:t>
      </w:r>
      <w:r w:rsidRPr="4EF34917" w:rsidR="01CF5F33">
        <w:rPr>
          <w:rFonts w:ascii="Times New Roman" w:hAnsi="Times New Roman" w:eastAsia="Times New Roman" w:cs="Times New Roman"/>
          <w:noProof w:val="0"/>
          <w:sz w:val="24"/>
          <w:szCs w:val="24"/>
          <w:lang w:val="en-US"/>
        </w:rPr>
        <w:t>s</w:t>
      </w:r>
      <w:r w:rsidRPr="4EF34917" w:rsidR="01CF5F33">
        <w:rPr>
          <w:rFonts w:ascii="Times New Roman" w:hAnsi="Times New Roman" w:eastAsia="Times New Roman" w:cs="Times New Roman"/>
          <w:noProof w:val="0"/>
          <w:sz w:val="24"/>
          <w:szCs w:val="24"/>
          <w:lang w:val="en-US"/>
        </w:rPr>
        <w:t xml:space="preserve"> earnings to increase </w:t>
      </w:r>
      <w:bookmarkStart w:name="_Int_yMQd4bxt" w:id="994067253"/>
      <w:r w:rsidRPr="4EF34917" w:rsidR="01CF5F33">
        <w:rPr>
          <w:rFonts w:ascii="Times New Roman" w:hAnsi="Times New Roman" w:eastAsia="Times New Roman" w:cs="Times New Roman"/>
          <w:noProof w:val="0"/>
          <w:sz w:val="24"/>
          <w:szCs w:val="24"/>
          <w:lang w:val="en-US"/>
        </w:rPr>
        <w:t>it</w:t>
      </w:r>
      <w:r w:rsidRPr="4EF34917" w:rsidR="3E5F7B04">
        <w:rPr>
          <w:rFonts w:ascii="Times New Roman" w:hAnsi="Times New Roman" w:eastAsia="Times New Roman" w:cs="Times New Roman"/>
          <w:noProof w:val="0"/>
          <w:sz w:val="24"/>
          <w:szCs w:val="24"/>
          <w:lang w:val="en-US"/>
        </w:rPr>
        <w:t>'</w:t>
      </w:r>
      <w:r w:rsidRPr="4EF34917" w:rsidR="01CF5F33">
        <w:rPr>
          <w:rFonts w:ascii="Times New Roman" w:hAnsi="Times New Roman" w:eastAsia="Times New Roman" w:cs="Times New Roman"/>
          <w:noProof w:val="0"/>
          <w:sz w:val="24"/>
          <w:szCs w:val="24"/>
          <w:lang w:val="en-US"/>
        </w:rPr>
        <w:t>s</w:t>
      </w:r>
      <w:bookmarkEnd w:id="994067253"/>
      <w:r w:rsidRPr="4EF34917" w:rsidR="01CF5F33">
        <w:rPr>
          <w:rFonts w:ascii="Times New Roman" w:hAnsi="Times New Roman" w:eastAsia="Times New Roman" w:cs="Times New Roman"/>
          <w:noProof w:val="0"/>
          <w:sz w:val="24"/>
          <w:szCs w:val="24"/>
          <w:lang w:val="en-US"/>
        </w:rPr>
        <w:t xml:space="preserve"> price to earnings and price to book ratios.</w:t>
      </w:r>
    </w:p>
    <w:p w:rsidR="4EF34917" w:rsidP="4EF34917" w:rsidRDefault="4EF34917" w14:paraId="279ABE53" w14:textId="4C39B0BB">
      <w:pPr>
        <w:bidi w:val="0"/>
        <w:spacing w:before="0" w:beforeAutospacing="off" w:after="160" w:afterAutospacing="off" w:line="278" w:lineRule="auto"/>
        <w:jc w:val="left"/>
        <w:rPr>
          <w:rFonts w:ascii="Times New Roman" w:hAnsi="Times New Roman" w:eastAsia="Times New Roman" w:cs="Times New Roman"/>
          <w:noProof w:val="0"/>
          <w:sz w:val="24"/>
          <w:szCs w:val="24"/>
          <w:lang w:val="en-US"/>
        </w:rPr>
      </w:pPr>
    </w:p>
    <w:p w:rsidR="4EF34917" w:rsidP="4EF34917" w:rsidRDefault="4EF34917" w14:paraId="427C66A0" w14:textId="6F21E4C6">
      <w:pPr>
        <w:bidi w:val="0"/>
        <w:spacing w:before="0" w:beforeAutospacing="off" w:after="160" w:afterAutospacing="off" w:line="278" w:lineRule="auto"/>
        <w:jc w:val="left"/>
        <w:rPr>
          <w:rFonts w:ascii="Times New Roman" w:hAnsi="Times New Roman" w:eastAsia="Times New Roman" w:cs="Times New Roman"/>
          <w:noProof w:val="0"/>
          <w:sz w:val="24"/>
          <w:szCs w:val="24"/>
          <w:lang w:val="en-US"/>
        </w:rPr>
      </w:pPr>
    </w:p>
    <w:p w:rsidR="4EF34917" w:rsidP="4EF34917" w:rsidRDefault="4EF34917" w14:paraId="63097E28" w14:textId="40624E7B">
      <w:pPr>
        <w:bidi w:val="0"/>
        <w:spacing w:before="0" w:beforeAutospacing="off" w:after="160" w:afterAutospacing="off" w:line="278" w:lineRule="auto"/>
        <w:jc w:val="left"/>
        <w:rPr>
          <w:rFonts w:ascii="Times New Roman" w:hAnsi="Times New Roman" w:eastAsia="Times New Roman" w:cs="Times New Roman"/>
          <w:noProof w:val="0"/>
          <w:sz w:val="24"/>
          <w:szCs w:val="24"/>
          <w:lang w:val="en-US"/>
        </w:rPr>
      </w:pPr>
    </w:p>
    <w:p w:rsidR="4EF34917" w:rsidP="4EF34917" w:rsidRDefault="4EF34917" w14:paraId="428D9FD4" w14:textId="66A5D11D">
      <w:pPr>
        <w:bidi w:val="0"/>
        <w:spacing w:before="0" w:beforeAutospacing="off" w:after="160" w:afterAutospacing="off" w:line="278" w:lineRule="auto"/>
        <w:jc w:val="left"/>
        <w:rPr>
          <w:rFonts w:ascii="Times New Roman" w:hAnsi="Times New Roman" w:eastAsia="Times New Roman" w:cs="Times New Roman"/>
          <w:noProof w:val="0"/>
          <w:sz w:val="24"/>
          <w:szCs w:val="24"/>
          <w:lang w:val="en-US"/>
        </w:rPr>
      </w:pPr>
    </w:p>
    <w:p w:rsidR="4EF34917" w:rsidP="4EF34917" w:rsidRDefault="4EF34917" w14:paraId="209474EE" w14:textId="4EE95BD9">
      <w:pPr>
        <w:bidi w:val="0"/>
        <w:spacing w:before="0" w:beforeAutospacing="off" w:after="160" w:afterAutospacing="off" w:line="278" w:lineRule="auto"/>
        <w:jc w:val="left"/>
        <w:rPr>
          <w:rFonts w:ascii="Times New Roman" w:hAnsi="Times New Roman" w:eastAsia="Times New Roman" w:cs="Times New Roman"/>
          <w:noProof w:val="0"/>
          <w:sz w:val="24"/>
          <w:szCs w:val="24"/>
          <w:lang w:val="en-US"/>
        </w:rPr>
      </w:pPr>
    </w:p>
    <w:p w:rsidR="4EF34917" w:rsidP="4EF34917" w:rsidRDefault="4EF34917" w14:paraId="75ACA51A" w14:textId="4A681542">
      <w:pPr>
        <w:bidi w:val="0"/>
        <w:spacing w:before="0" w:beforeAutospacing="off" w:after="160" w:afterAutospacing="off" w:line="278" w:lineRule="auto"/>
        <w:jc w:val="left"/>
        <w:rPr>
          <w:rFonts w:ascii="Times New Roman" w:hAnsi="Times New Roman" w:eastAsia="Times New Roman" w:cs="Times New Roman"/>
          <w:noProof w:val="0"/>
          <w:sz w:val="24"/>
          <w:szCs w:val="24"/>
          <w:lang w:val="en-US"/>
        </w:rPr>
      </w:pPr>
    </w:p>
    <w:p w:rsidR="4EF34917" w:rsidP="4EF34917" w:rsidRDefault="4EF34917" w14:paraId="5A4E6375" w14:textId="3D5692B2">
      <w:pPr>
        <w:bidi w:val="0"/>
        <w:spacing w:before="0" w:beforeAutospacing="off" w:after="160" w:afterAutospacing="off" w:line="278" w:lineRule="auto"/>
        <w:jc w:val="left"/>
        <w:rPr>
          <w:rFonts w:ascii="Times New Roman" w:hAnsi="Times New Roman" w:eastAsia="Times New Roman" w:cs="Times New Roman"/>
          <w:noProof w:val="0"/>
          <w:sz w:val="24"/>
          <w:szCs w:val="24"/>
          <w:lang w:val="en-US"/>
        </w:rPr>
      </w:pPr>
    </w:p>
    <w:p w:rsidR="4EF34917" w:rsidP="4EF34917" w:rsidRDefault="4EF34917" w14:paraId="00CEEA37" w14:textId="41A38427">
      <w:pPr>
        <w:bidi w:val="0"/>
        <w:spacing w:before="0" w:beforeAutospacing="off" w:after="160" w:afterAutospacing="off" w:line="278" w:lineRule="auto"/>
        <w:jc w:val="left"/>
        <w:rPr>
          <w:rFonts w:ascii="Times New Roman" w:hAnsi="Times New Roman" w:eastAsia="Times New Roman" w:cs="Times New Roman"/>
          <w:noProof w:val="0"/>
          <w:sz w:val="24"/>
          <w:szCs w:val="24"/>
          <w:lang w:val="en-US"/>
        </w:rPr>
      </w:pPr>
    </w:p>
    <w:p w:rsidR="4EF34917" w:rsidP="4EF34917" w:rsidRDefault="4EF34917" w14:paraId="0143A4A1" w14:textId="039B7BD6">
      <w:pPr>
        <w:bidi w:val="0"/>
        <w:spacing w:before="0" w:beforeAutospacing="off" w:after="160" w:afterAutospacing="off" w:line="278" w:lineRule="auto"/>
        <w:jc w:val="left"/>
        <w:rPr>
          <w:rFonts w:ascii="Times New Roman" w:hAnsi="Times New Roman" w:eastAsia="Times New Roman" w:cs="Times New Roman"/>
          <w:noProof w:val="0"/>
          <w:sz w:val="24"/>
          <w:szCs w:val="24"/>
          <w:lang w:val="en-US"/>
        </w:rPr>
      </w:pPr>
    </w:p>
    <w:p w:rsidR="4EF34917" w:rsidP="4EF34917" w:rsidRDefault="4EF34917" w14:paraId="6738D97A" w14:textId="5E557A11">
      <w:pPr>
        <w:bidi w:val="0"/>
        <w:spacing w:before="0" w:beforeAutospacing="off" w:after="160" w:afterAutospacing="off" w:line="278" w:lineRule="auto"/>
        <w:jc w:val="left"/>
        <w:rPr>
          <w:rFonts w:ascii="Times New Roman" w:hAnsi="Times New Roman" w:eastAsia="Times New Roman" w:cs="Times New Roman"/>
          <w:noProof w:val="0"/>
          <w:sz w:val="24"/>
          <w:szCs w:val="24"/>
          <w:lang w:val="en-US"/>
        </w:rPr>
      </w:pPr>
    </w:p>
    <w:p w:rsidR="4EF34917" w:rsidP="4EF34917" w:rsidRDefault="4EF34917" w14:paraId="2FCB640D" w14:textId="424F1B74">
      <w:pPr>
        <w:bidi w:val="0"/>
        <w:spacing w:before="0" w:beforeAutospacing="off" w:after="160" w:afterAutospacing="off" w:line="278" w:lineRule="auto"/>
        <w:jc w:val="left"/>
        <w:rPr>
          <w:rFonts w:ascii="Times New Roman" w:hAnsi="Times New Roman" w:eastAsia="Times New Roman" w:cs="Times New Roman"/>
          <w:noProof w:val="0"/>
          <w:sz w:val="24"/>
          <w:szCs w:val="24"/>
          <w:lang w:val="en-US"/>
        </w:rPr>
      </w:pPr>
    </w:p>
    <w:p w:rsidR="4EF34917" w:rsidP="4EF34917" w:rsidRDefault="4EF34917" w14:paraId="25E40F63" w14:textId="2733E695">
      <w:pPr>
        <w:pStyle w:val="Normal"/>
        <w:spacing w:line="480" w:lineRule="auto"/>
        <w:ind w:left="0"/>
        <w:jc w:val="left"/>
        <w:rPr>
          <w:rFonts w:ascii="Times New Roman" w:hAnsi="Times New Roman" w:eastAsia="Times New Roman" w:cs="Times New Roman"/>
          <w:b w:val="1"/>
          <w:bCs w:val="1"/>
          <w:highlight w:val="yellow"/>
        </w:rPr>
      </w:pPr>
    </w:p>
    <w:p w:rsidR="547D4602" w:rsidP="0C022DB6" w:rsidRDefault="547D4602" w14:paraId="25E9C6A8" w14:textId="2C7CC5C9">
      <w:pPr>
        <w:pStyle w:val="Normal"/>
        <w:spacing w:line="480" w:lineRule="auto"/>
        <w:ind w:left="0"/>
        <w:jc w:val="left"/>
      </w:pPr>
      <w:r w:rsidRPr="4EF34917" w:rsidR="27FD974A">
        <w:rPr>
          <w:rFonts w:ascii="Times New Roman" w:hAnsi="Times New Roman" w:eastAsia="Times New Roman" w:cs="Times New Roman"/>
          <w:b w:val="1"/>
          <w:bCs w:val="1"/>
        </w:rPr>
        <w:t>References</w:t>
      </w:r>
    </w:p>
    <w:p w:rsidR="0C022DB6" w:rsidP="4EF34917" w:rsidRDefault="0C022DB6" w14:paraId="4A500B07" w14:textId="1EDBB52D">
      <w:pPr>
        <w:pStyle w:val="Normal"/>
        <w:spacing w:line="240" w:lineRule="auto"/>
        <w:ind w:left="0"/>
        <w:jc w:val="left"/>
        <w:rPr>
          <w:rFonts w:ascii="Times New Roman" w:hAnsi="Times New Roman" w:eastAsia="Times New Roman" w:cs="Times New Roman"/>
          <w:b w:val="0"/>
          <w:bCs w:val="0"/>
          <w:noProof w:val="0"/>
          <w:sz w:val="24"/>
          <w:szCs w:val="24"/>
          <w:lang w:val="en-US"/>
        </w:rPr>
      </w:pPr>
      <w:r w:rsidRPr="4EF34917" w:rsidR="7CC3DE8E">
        <w:rPr>
          <w:rFonts w:ascii="Times New Roman" w:hAnsi="Times New Roman" w:eastAsia="Times New Roman" w:cs="Times New Roman"/>
          <w:b w:val="0"/>
          <w:bCs w:val="0"/>
          <w:noProof w:val="0"/>
          <w:sz w:val="24"/>
          <w:szCs w:val="24"/>
          <w:lang w:val="en-US"/>
        </w:rPr>
        <w:t xml:space="preserve">Target Corporation. (2020). </w:t>
      </w:r>
      <w:r w:rsidRPr="4EF34917" w:rsidR="7CC3DE8E">
        <w:rPr>
          <w:rFonts w:ascii="Times New Roman" w:hAnsi="Times New Roman" w:eastAsia="Times New Roman" w:cs="Times New Roman"/>
          <w:b w:val="0"/>
          <w:bCs w:val="0"/>
          <w:i w:val="1"/>
          <w:iCs w:val="1"/>
          <w:noProof w:val="0"/>
          <w:sz w:val="24"/>
          <w:szCs w:val="24"/>
          <w:lang w:val="en-US"/>
        </w:rPr>
        <w:t>Form 10-K: Annual report for the fiscal year ended February 1, 2020</w:t>
      </w:r>
      <w:r w:rsidRPr="4EF34917" w:rsidR="7CC3DE8E">
        <w:rPr>
          <w:rFonts w:ascii="Times New Roman" w:hAnsi="Times New Roman" w:eastAsia="Times New Roman" w:cs="Times New Roman"/>
          <w:b w:val="0"/>
          <w:bCs w:val="0"/>
          <w:noProof w:val="0"/>
          <w:sz w:val="24"/>
          <w:szCs w:val="24"/>
          <w:lang w:val="en-US"/>
        </w:rPr>
        <w:t xml:space="preserve">. U.S. Securities and Exchange Commission. </w:t>
      </w:r>
      <w:hyperlink r:id="R57eb3fc953f54eb0">
        <w:r w:rsidRPr="4EF34917" w:rsidR="7CC3DE8E">
          <w:rPr>
            <w:rStyle w:val="Hyperlink"/>
            <w:rFonts w:ascii="Times New Roman" w:hAnsi="Times New Roman" w:eastAsia="Times New Roman" w:cs="Times New Roman"/>
            <w:b w:val="0"/>
            <w:bCs w:val="0"/>
            <w:noProof w:val="0"/>
            <w:sz w:val="24"/>
            <w:szCs w:val="24"/>
            <w:lang w:val="en-US"/>
          </w:rPr>
          <w:t>https://www.sec.gov/Archives/edgar/data/27419/000002741920000008/tgt-20200201.htm</w:t>
        </w:r>
      </w:hyperlink>
    </w:p>
    <w:p w:rsidR="0C022DB6" w:rsidP="4EF34917" w:rsidRDefault="0C022DB6" w14:paraId="43D98F6D" w14:textId="235A4B71">
      <w:pPr>
        <w:spacing w:line="240" w:lineRule="auto"/>
        <w:rPr>
          <w:rFonts w:ascii="Times New Roman" w:hAnsi="Times New Roman" w:eastAsia="Times New Roman" w:cs="Times New Roman"/>
          <w:sz w:val="24"/>
          <w:szCs w:val="24"/>
        </w:rPr>
      </w:pPr>
      <w:r w:rsidRPr="4EF34917" w:rsidR="73716F68">
        <w:rPr>
          <w:rFonts w:ascii="Times New Roman" w:hAnsi="Times New Roman" w:eastAsia="Times New Roman" w:cs="Times New Roman"/>
          <w:noProof w:val="0"/>
          <w:sz w:val="24"/>
          <w:szCs w:val="24"/>
          <w:lang w:val="en-US"/>
        </w:rPr>
        <w:t xml:space="preserve">Target Corporation. (2021). </w:t>
      </w:r>
      <w:r w:rsidRPr="4EF34917" w:rsidR="73716F68">
        <w:rPr>
          <w:rFonts w:ascii="Times New Roman" w:hAnsi="Times New Roman" w:eastAsia="Times New Roman" w:cs="Times New Roman"/>
          <w:i w:val="1"/>
          <w:iCs w:val="1"/>
          <w:noProof w:val="0"/>
          <w:sz w:val="24"/>
          <w:szCs w:val="24"/>
          <w:lang w:val="en-US"/>
        </w:rPr>
        <w:t>Form 10-K: Annual report for the fiscal year ended January 30, 2021</w:t>
      </w:r>
      <w:r w:rsidRPr="4EF34917" w:rsidR="73716F68">
        <w:rPr>
          <w:rFonts w:ascii="Times New Roman" w:hAnsi="Times New Roman" w:eastAsia="Times New Roman" w:cs="Times New Roman"/>
          <w:noProof w:val="0"/>
          <w:sz w:val="24"/>
          <w:szCs w:val="24"/>
          <w:lang w:val="en-US"/>
        </w:rPr>
        <w:t xml:space="preserve">. U.S. Securities and Exchange Commission. </w:t>
      </w:r>
      <w:hyperlink r:id="R1920c2b950354bc0">
        <w:r w:rsidRPr="4EF34917" w:rsidR="73716F68">
          <w:rPr>
            <w:rStyle w:val="Hyperlink"/>
            <w:rFonts w:ascii="Times New Roman" w:hAnsi="Times New Roman" w:eastAsia="Times New Roman" w:cs="Times New Roman"/>
            <w:noProof w:val="0"/>
            <w:sz w:val="24"/>
            <w:szCs w:val="24"/>
            <w:lang w:val="en-US"/>
          </w:rPr>
          <w:t>https://www.sec.gov/Archives/edgar/data/27419/000002741921000010/tgt-20210130.htm</w:t>
        </w:r>
      </w:hyperlink>
    </w:p>
    <w:p w:rsidR="0C022DB6" w:rsidP="4EF34917" w:rsidRDefault="0C022DB6" w14:paraId="74393D76" w14:textId="4F0CE085">
      <w:pPr>
        <w:spacing w:line="240" w:lineRule="auto"/>
        <w:rPr>
          <w:rFonts w:ascii="Times New Roman" w:hAnsi="Times New Roman" w:eastAsia="Times New Roman" w:cs="Times New Roman"/>
          <w:sz w:val="24"/>
          <w:szCs w:val="24"/>
        </w:rPr>
      </w:pPr>
      <w:r w:rsidRPr="4EF34917" w:rsidR="73716F68">
        <w:rPr>
          <w:rFonts w:ascii="Times New Roman" w:hAnsi="Times New Roman" w:eastAsia="Times New Roman" w:cs="Times New Roman"/>
          <w:noProof w:val="0"/>
          <w:sz w:val="24"/>
          <w:szCs w:val="24"/>
          <w:lang w:val="en-US"/>
        </w:rPr>
        <w:t xml:space="preserve">Target Corporation. (2022). </w:t>
      </w:r>
      <w:r w:rsidRPr="4EF34917" w:rsidR="73716F68">
        <w:rPr>
          <w:rFonts w:ascii="Times New Roman" w:hAnsi="Times New Roman" w:eastAsia="Times New Roman" w:cs="Times New Roman"/>
          <w:i w:val="1"/>
          <w:iCs w:val="1"/>
          <w:noProof w:val="0"/>
          <w:sz w:val="24"/>
          <w:szCs w:val="24"/>
          <w:lang w:val="en-US"/>
        </w:rPr>
        <w:t>Form 10-K: Annual report for the fiscal year ended January 29, 2022</w:t>
      </w:r>
      <w:r w:rsidRPr="4EF34917" w:rsidR="73716F68">
        <w:rPr>
          <w:rFonts w:ascii="Times New Roman" w:hAnsi="Times New Roman" w:eastAsia="Times New Roman" w:cs="Times New Roman"/>
          <w:noProof w:val="0"/>
          <w:sz w:val="24"/>
          <w:szCs w:val="24"/>
          <w:lang w:val="en-US"/>
        </w:rPr>
        <w:t xml:space="preserve">. U.S. Securities and Exchange Commission. </w:t>
      </w:r>
      <w:hyperlink r:id="R326c201f43104b3e">
        <w:r w:rsidRPr="4EF34917" w:rsidR="73716F68">
          <w:rPr>
            <w:rStyle w:val="Hyperlink"/>
            <w:rFonts w:ascii="Times New Roman" w:hAnsi="Times New Roman" w:eastAsia="Times New Roman" w:cs="Times New Roman"/>
            <w:noProof w:val="0"/>
            <w:sz w:val="24"/>
            <w:szCs w:val="24"/>
            <w:lang w:val="en-US"/>
          </w:rPr>
          <w:t>https://www.sec.gov/Archives/edgar/data/27419/000002741922000007/tgt-20220129.htm</w:t>
        </w:r>
      </w:hyperlink>
    </w:p>
    <w:p w:rsidR="0C022DB6" w:rsidP="4EF34917" w:rsidRDefault="0C022DB6" w14:paraId="50DD6AEA" w14:textId="609B4087">
      <w:pPr>
        <w:spacing w:line="240" w:lineRule="auto"/>
        <w:rPr>
          <w:rFonts w:ascii="Times New Roman" w:hAnsi="Times New Roman" w:eastAsia="Times New Roman" w:cs="Times New Roman"/>
          <w:sz w:val="24"/>
          <w:szCs w:val="24"/>
        </w:rPr>
      </w:pPr>
      <w:r w:rsidRPr="4EF34917" w:rsidR="73716F68">
        <w:rPr>
          <w:rFonts w:ascii="Times New Roman" w:hAnsi="Times New Roman" w:eastAsia="Times New Roman" w:cs="Times New Roman"/>
          <w:noProof w:val="0"/>
          <w:sz w:val="24"/>
          <w:szCs w:val="24"/>
          <w:lang w:val="en-US"/>
        </w:rPr>
        <w:t xml:space="preserve">Target Corporation. (2023). </w:t>
      </w:r>
      <w:r w:rsidRPr="4EF34917" w:rsidR="73716F68">
        <w:rPr>
          <w:rFonts w:ascii="Times New Roman" w:hAnsi="Times New Roman" w:eastAsia="Times New Roman" w:cs="Times New Roman"/>
          <w:i w:val="1"/>
          <w:iCs w:val="1"/>
          <w:noProof w:val="0"/>
          <w:sz w:val="24"/>
          <w:szCs w:val="24"/>
          <w:lang w:val="en-US"/>
        </w:rPr>
        <w:t>Form 10-K: Annual report for the fiscal year ended January 28, 2023</w:t>
      </w:r>
      <w:r w:rsidRPr="4EF34917" w:rsidR="73716F68">
        <w:rPr>
          <w:rFonts w:ascii="Times New Roman" w:hAnsi="Times New Roman" w:eastAsia="Times New Roman" w:cs="Times New Roman"/>
          <w:noProof w:val="0"/>
          <w:sz w:val="24"/>
          <w:szCs w:val="24"/>
          <w:lang w:val="en-US"/>
        </w:rPr>
        <w:t xml:space="preserve">. U.S. Securities and Exchange Commission. </w:t>
      </w:r>
      <w:hyperlink r:id="R218e6aa6d71b4563">
        <w:r w:rsidRPr="4EF34917" w:rsidR="73716F68">
          <w:rPr>
            <w:rStyle w:val="Hyperlink"/>
            <w:rFonts w:ascii="Times New Roman" w:hAnsi="Times New Roman" w:eastAsia="Times New Roman" w:cs="Times New Roman"/>
            <w:noProof w:val="0"/>
            <w:sz w:val="24"/>
            <w:szCs w:val="24"/>
            <w:lang w:val="en-US"/>
          </w:rPr>
          <w:t>https://www.sec.gov/Archives/edgar/data/27419/000002741923000015/tgt-20230128.htm</w:t>
        </w:r>
      </w:hyperlink>
    </w:p>
    <w:p w:rsidR="0C022DB6" w:rsidP="4EF34917" w:rsidRDefault="0C022DB6" w14:paraId="26DB13EF" w14:textId="07A4FDBB">
      <w:pPr>
        <w:spacing w:line="240" w:lineRule="auto"/>
        <w:rPr>
          <w:rFonts w:ascii="Times New Roman" w:hAnsi="Times New Roman" w:eastAsia="Times New Roman" w:cs="Times New Roman"/>
          <w:sz w:val="24"/>
          <w:szCs w:val="24"/>
        </w:rPr>
      </w:pPr>
      <w:r w:rsidRPr="4EF34917" w:rsidR="73716F68">
        <w:rPr>
          <w:rFonts w:ascii="Times New Roman" w:hAnsi="Times New Roman" w:eastAsia="Times New Roman" w:cs="Times New Roman"/>
          <w:noProof w:val="0"/>
          <w:sz w:val="24"/>
          <w:szCs w:val="24"/>
          <w:lang w:val="en-US"/>
        </w:rPr>
        <w:t xml:space="preserve">Target Corporation. (2024). </w:t>
      </w:r>
      <w:r w:rsidRPr="4EF34917" w:rsidR="73716F68">
        <w:rPr>
          <w:rFonts w:ascii="Times New Roman" w:hAnsi="Times New Roman" w:eastAsia="Times New Roman" w:cs="Times New Roman"/>
          <w:i w:val="1"/>
          <w:iCs w:val="1"/>
          <w:noProof w:val="0"/>
          <w:sz w:val="24"/>
          <w:szCs w:val="24"/>
          <w:lang w:val="en-US"/>
        </w:rPr>
        <w:t>Form 10-K: Annual report for the fiscal year ended February 3, 2024</w:t>
      </w:r>
      <w:r w:rsidRPr="4EF34917" w:rsidR="73716F68">
        <w:rPr>
          <w:rFonts w:ascii="Times New Roman" w:hAnsi="Times New Roman" w:eastAsia="Times New Roman" w:cs="Times New Roman"/>
          <w:noProof w:val="0"/>
          <w:sz w:val="24"/>
          <w:szCs w:val="24"/>
          <w:lang w:val="en-US"/>
        </w:rPr>
        <w:t xml:space="preserve">. U.S. Securities and Exchange Commission. </w:t>
      </w:r>
      <w:hyperlink r:id="R29b73dffcfbc40ce">
        <w:r w:rsidRPr="4EF34917" w:rsidR="73716F68">
          <w:rPr>
            <w:rStyle w:val="Hyperlink"/>
            <w:rFonts w:ascii="Times New Roman" w:hAnsi="Times New Roman" w:eastAsia="Times New Roman" w:cs="Times New Roman"/>
            <w:noProof w:val="0"/>
            <w:sz w:val="24"/>
            <w:szCs w:val="24"/>
            <w:lang w:val="en-US"/>
          </w:rPr>
          <w:t>https://www.sec.gov/Archives/edgar/data/27419/000002741924000032/tgt-20240203.htm</w:t>
        </w:r>
      </w:hyperlink>
    </w:p>
    <w:p w:rsidR="0C022DB6" w:rsidP="4EF34917" w:rsidRDefault="0C022DB6" w14:paraId="19F77572" w14:textId="5CB3EE57">
      <w:pPr>
        <w:spacing w:line="240" w:lineRule="auto"/>
        <w:rPr>
          <w:rFonts w:ascii="Times New Roman" w:hAnsi="Times New Roman" w:eastAsia="Times New Roman" w:cs="Times New Roman"/>
          <w:sz w:val="24"/>
          <w:szCs w:val="24"/>
        </w:rPr>
      </w:pPr>
      <w:r w:rsidRPr="4EF34917" w:rsidR="73716F68">
        <w:rPr>
          <w:rFonts w:ascii="Times New Roman" w:hAnsi="Times New Roman" w:eastAsia="Times New Roman" w:cs="Times New Roman"/>
          <w:noProof w:val="0"/>
          <w:sz w:val="24"/>
          <w:szCs w:val="24"/>
          <w:lang w:val="en-US"/>
        </w:rPr>
        <w:t xml:space="preserve">Target Corporation. (2025). </w:t>
      </w:r>
      <w:r w:rsidRPr="4EF34917" w:rsidR="73716F68">
        <w:rPr>
          <w:rFonts w:ascii="Times New Roman" w:hAnsi="Times New Roman" w:eastAsia="Times New Roman" w:cs="Times New Roman"/>
          <w:i w:val="1"/>
          <w:iCs w:val="1"/>
          <w:noProof w:val="0"/>
          <w:sz w:val="24"/>
          <w:szCs w:val="24"/>
          <w:lang w:val="en-US"/>
        </w:rPr>
        <w:t>Form 10-K: Annual report for the fiscal year ended February 1, 2025</w:t>
      </w:r>
      <w:r w:rsidRPr="4EF34917" w:rsidR="73716F68">
        <w:rPr>
          <w:rFonts w:ascii="Times New Roman" w:hAnsi="Times New Roman" w:eastAsia="Times New Roman" w:cs="Times New Roman"/>
          <w:noProof w:val="0"/>
          <w:sz w:val="24"/>
          <w:szCs w:val="24"/>
          <w:lang w:val="en-US"/>
        </w:rPr>
        <w:t xml:space="preserve">. U.S. Securities and Exchange Commission. </w:t>
      </w:r>
      <w:hyperlink r:id="R55cc1efc617f43ca">
        <w:r w:rsidRPr="4EF34917" w:rsidR="73716F68">
          <w:rPr>
            <w:rStyle w:val="Hyperlink"/>
            <w:rFonts w:ascii="Times New Roman" w:hAnsi="Times New Roman" w:eastAsia="Times New Roman" w:cs="Times New Roman"/>
            <w:noProof w:val="0"/>
            <w:sz w:val="24"/>
            <w:szCs w:val="24"/>
            <w:lang w:val="en-US"/>
          </w:rPr>
          <w:t>https://www.sec.gov/Archives/edgar/data/27419/000002741925000018/tgt-20250201.htm</w:t>
        </w:r>
      </w:hyperlink>
    </w:p>
    <w:p w:rsidR="0C022DB6" w:rsidP="4EF34917" w:rsidRDefault="0C022DB6" w14:paraId="2B917A65" w14:textId="4EE05B26">
      <w:pPr>
        <w:spacing w:line="240" w:lineRule="auto"/>
        <w:rPr>
          <w:rFonts w:ascii="Times New Roman" w:hAnsi="Times New Roman" w:eastAsia="Times New Roman" w:cs="Times New Roman"/>
          <w:sz w:val="24"/>
          <w:szCs w:val="24"/>
        </w:rPr>
      </w:pPr>
      <w:r w:rsidRPr="4EF34917" w:rsidR="73716F68">
        <w:rPr>
          <w:rFonts w:ascii="Times New Roman" w:hAnsi="Times New Roman" w:eastAsia="Times New Roman" w:cs="Times New Roman"/>
          <w:noProof w:val="0"/>
          <w:sz w:val="24"/>
          <w:szCs w:val="24"/>
          <w:lang w:val="en-US"/>
        </w:rPr>
        <w:t xml:space="preserve">Yahoo Finance. (n.d.). </w:t>
      </w:r>
      <w:r w:rsidRPr="4EF34917" w:rsidR="73716F68">
        <w:rPr>
          <w:rFonts w:ascii="Times New Roman" w:hAnsi="Times New Roman" w:eastAsia="Times New Roman" w:cs="Times New Roman"/>
          <w:i w:val="1"/>
          <w:iCs w:val="1"/>
          <w:noProof w:val="0"/>
          <w:sz w:val="24"/>
          <w:szCs w:val="24"/>
          <w:lang w:val="en-US"/>
        </w:rPr>
        <w:t>Target Corporation (TGT) historical data</w:t>
      </w:r>
      <w:r w:rsidRPr="4EF34917" w:rsidR="73716F68">
        <w:rPr>
          <w:rFonts w:ascii="Times New Roman" w:hAnsi="Times New Roman" w:eastAsia="Times New Roman" w:cs="Times New Roman"/>
          <w:noProof w:val="0"/>
          <w:sz w:val="24"/>
          <w:szCs w:val="24"/>
          <w:lang w:val="en-US"/>
        </w:rPr>
        <w:t xml:space="preserve">. Retrieved September 27, 2026, from </w:t>
      </w:r>
      <w:hyperlink r:id="R7e824ac2c1fc4e2f">
        <w:r w:rsidRPr="4EF34917" w:rsidR="73716F68">
          <w:rPr>
            <w:rStyle w:val="Hyperlink"/>
            <w:rFonts w:ascii="Times New Roman" w:hAnsi="Times New Roman" w:eastAsia="Times New Roman" w:cs="Times New Roman"/>
            <w:noProof w:val="0"/>
            <w:sz w:val="24"/>
            <w:szCs w:val="24"/>
            <w:lang w:val="en-US"/>
          </w:rPr>
          <w:t>https://finance.yahoo.com/quote/TGT/history/</w:t>
        </w:r>
      </w:hyperlink>
    </w:p>
    <w:p w:rsidR="0C022DB6" w:rsidP="0C022DB6" w:rsidRDefault="0C022DB6" w14:paraId="3C0E3B0C" w14:textId="59391A23">
      <w:pPr>
        <w:pStyle w:val="Normal"/>
        <w:spacing w:line="480" w:lineRule="auto"/>
        <w:rPr>
          <w:rFonts w:ascii="Times New Roman" w:hAnsi="Times New Roman" w:eastAsia="Times New Roman" w:cs="Times New Roman"/>
        </w:rPr>
      </w:pPr>
    </w:p>
    <w:p w:rsidR="0C022DB6" w:rsidP="0C022DB6" w:rsidRDefault="0C022DB6" w14:paraId="3D5F3475" w14:textId="7CD73D01">
      <w:pPr>
        <w:pStyle w:val="Normal"/>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u8zfLvsztS5snQ" int2:id="4bQZ2DZ2">
      <int2:state int2:type="gram" int2:value="Rejected"/>
    </int2:textHash>
    <int2:bookmark int2:bookmarkName="_Int_8uqEkkSj" int2:invalidationBookmarkName="" int2:hashCode="pkuqTtOqbFi4+i" int2:id="CjQjMGsJ">
      <int2:state int2:type="gram" int2:value="Rejected"/>
    </int2:bookmark>
    <int2:bookmark int2:bookmarkName="_Int_1fb537gb" int2:invalidationBookmarkName="" int2:hashCode="cuce5ZxMZY7Grv" int2:id="FoKt0rEg">
      <int2:state int2:type="gram" int2:value="Rejected"/>
    </int2:bookmark>
    <int2:bookmark int2:bookmarkName="_Int_AUYxWIVW" int2:invalidationBookmarkName="" int2:hashCode="Ls4pB7JS5RBIDu" int2:id="3wvX50iI">
      <int2:state int2:type="gram" int2:value="Rejected"/>
    </int2:bookmark>
    <int2:bookmark int2:bookmarkName="_Int_Hvo6NKMO" int2:invalidationBookmarkName="" int2:hashCode="Vpu9dX4buLvM0l" int2:id="kBMGMo8S">
      <int2:state int2:type="gram" int2:value="Rejected"/>
    </int2:bookmark>
    <int2:bookmark int2:bookmarkName="_Int_yMQd4bxt" int2:invalidationBookmarkName="" int2:hashCode="ebvFNemP5+ZKzn" int2:id="gRsoMQx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221055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AB3643"/>
    <w:rsid w:val="006A66FC"/>
    <w:rsid w:val="015E9A09"/>
    <w:rsid w:val="017CC354"/>
    <w:rsid w:val="01820376"/>
    <w:rsid w:val="019B32E4"/>
    <w:rsid w:val="01CF5F33"/>
    <w:rsid w:val="01ECEF24"/>
    <w:rsid w:val="0266B248"/>
    <w:rsid w:val="0347DD9B"/>
    <w:rsid w:val="0357F619"/>
    <w:rsid w:val="0383C0A0"/>
    <w:rsid w:val="03BB0DE9"/>
    <w:rsid w:val="03C4FBC4"/>
    <w:rsid w:val="03EB2C66"/>
    <w:rsid w:val="0420F914"/>
    <w:rsid w:val="0453B529"/>
    <w:rsid w:val="056C356B"/>
    <w:rsid w:val="05EC8521"/>
    <w:rsid w:val="07EAAC05"/>
    <w:rsid w:val="090E946F"/>
    <w:rsid w:val="0927B1E0"/>
    <w:rsid w:val="0937C6BF"/>
    <w:rsid w:val="09508E99"/>
    <w:rsid w:val="0954004E"/>
    <w:rsid w:val="09B55001"/>
    <w:rsid w:val="0A16D281"/>
    <w:rsid w:val="0B227838"/>
    <w:rsid w:val="0B860A10"/>
    <w:rsid w:val="0B90C6D1"/>
    <w:rsid w:val="0C022DB6"/>
    <w:rsid w:val="0CACC675"/>
    <w:rsid w:val="0DAE9E68"/>
    <w:rsid w:val="0E3E3D63"/>
    <w:rsid w:val="0E43A79E"/>
    <w:rsid w:val="0F859C13"/>
    <w:rsid w:val="0FBDDE39"/>
    <w:rsid w:val="0FF0C3D1"/>
    <w:rsid w:val="0FF7DFBE"/>
    <w:rsid w:val="102C5140"/>
    <w:rsid w:val="10BA53DD"/>
    <w:rsid w:val="110948B9"/>
    <w:rsid w:val="1121FADC"/>
    <w:rsid w:val="11CFFB41"/>
    <w:rsid w:val="11F10732"/>
    <w:rsid w:val="1214A39D"/>
    <w:rsid w:val="122B0197"/>
    <w:rsid w:val="1265CC68"/>
    <w:rsid w:val="12C72A49"/>
    <w:rsid w:val="12C98A26"/>
    <w:rsid w:val="12F5CEC1"/>
    <w:rsid w:val="139861F6"/>
    <w:rsid w:val="13B7857B"/>
    <w:rsid w:val="14376073"/>
    <w:rsid w:val="14C4B8F4"/>
    <w:rsid w:val="1585A921"/>
    <w:rsid w:val="160B6605"/>
    <w:rsid w:val="1657BE09"/>
    <w:rsid w:val="16CA4AEA"/>
    <w:rsid w:val="16EB9D6B"/>
    <w:rsid w:val="182E72F3"/>
    <w:rsid w:val="183FAA26"/>
    <w:rsid w:val="18415962"/>
    <w:rsid w:val="1931AF18"/>
    <w:rsid w:val="19326B66"/>
    <w:rsid w:val="19492A6B"/>
    <w:rsid w:val="19826202"/>
    <w:rsid w:val="19F0BC32"/>
    <w:rsid w:val="19FE7E8F"/>
    <w:rsid w:val="1A0C4297"/>
    <w:rsid w:val="1A54BC87"/>
    <w:rsid w:val="1B40D55B"/>
    <w:rsid w:val="1C4714FC"/>
    <w:rsid w:val="1C57E300"/>
    <w:rsid w:val="1C8B2791"/>
    <w:rsid w:val="1D3ECE92"/>
    <w:rsid w:val="1D5E464E"/>
    <w:rsid w:val="1D8990E5"/>
    <w:rsid w:val="1D925D77"/>
    <w:rsid w:val="1E131215"/>
    <w:rsid w:val="2060EF9F"/>
    <w:rsid w:val="2080813A"/>
    <w:rsid w:val="21146A0B"/>
    <w:rsid w:val="21AB3643"/>
    <w:rsid w:val="21BE7EC0"/>
    <w:rsid w:val="249343D2"/>
    <w:rsid w:val="24C411F7"/>
    <w:rsid w:val="24E3156C"/>
    <w:rsid w:val="24F0D858"/>
    <w:rsid w:val="24F4CDC4"/>
    <w:rsid w:val="2558C93E"/>
    <w:rsid w:val="258A653E"/>
    <w:rsid w:val="25DA19AF"/>
    <w:rsid w:val="2602500F"/>
    <w:rsid w:val="2633497D"/>
    <w:rsid w:val="26464D96"/>
    <w:rsid w:val="2648F870"/>
    <w:rsid w:val="277C28C1"/>
    <w:rsid w:val="27A422E8"/>
    <w:rsid w:val="27FD974A"/>
    <w:rsid w:val="2843148A"/>
    <w:rsid w:val="2943A674"/>
    <w:rsid w:val="29BEF5DD"/>
    <w:rsid w:val="2A7D3025"/>
    <w:rsid w:val="2A8D699D"/>
    <w:rsid w:val="2B19966A"/>
    <w:rsid w:val="2B881E7D"/>
    <w:rsid w:val="2C22A500"/>
    <w:rsid w:val="2C7EE376"/>
    <w:rsid w:val="2D1575A3"/>
    <w:rsid w:val="2E70D975"/>
    <w:rsid w:val="2F862BF7"/>
    <w:rsid w:val="2FB04822"/>
    <w:rsid w:val="2FD40DC1"/>
    <w:rsid w:val="3035BA21"/>
    <w:rsid w:val="309974C0"/>
    <w:rsid w:val="313A6933"/>
    <w:rsid w:val="316CD349"/>
    <w:rsid w:val="318B11A5"/>
    <w:rsid w:val="319BE6CD"/>
    <w:rsid w:val="31C1BF62"/>
    <w:rsid w:val="3362399E"/>
    <w:rsid w:val="33C8066C"/>
    <w:rsid w:val="353F3583"/>
    <w:rsid w:val="3558DB63"/>
    <w:rsid w:val="35AC21AE"/>
    <w:rsid w:val="362F6A61"/>
    <w:rsid w:val="36CD68AB"/>
    <w:rsid w:val="3716CA76"/>
    <w:rsid w:val="37191873"/>
    <w:rsid w:val="3722F0F0"/>
    <w:rsid w:val="37C311B0"/>
    <w:rsid w:val="38582B79"/>
    <w:rsid w:val="38606E9C"/>
    <w:rsid w:val="38696B61"/>
    <w:rsid w:val="3873DD55"/>
    <w:rsid w:val="38C40455"/>
    <w:rsid w:val="39705A40"/>
    <w:rsid w:val="3ABE43E8"/>
    <w:rsid w:val="3ADA5710"/>
    <w:rsid w:val="3B62DFE8"/>
    <w:rsid w:val="3BB89860"/>
    <w:rsid w:val="3CBD9A1F"/>
    <w:rsid w:val="3CBDB5D9"/>
    <w:rsid w:val="3E5F7B04"/>
    <w:rsid w:val="3EA7314A"/>
    <w:rsid w:val="3F3D4581"/>
    <w:rsid w:val="3FA887C2"/>
    <w:rsid w:val="401B24AE"/>
    <w:rsid w:val="4050985C"/>
    <w:rsid w:val="40B46D7C"/>
    <w:rsid w:val="4114FF3B"/>
    <w:rsid w:val="41EBB0D2"/>
    <w:rsid w:val="42EFC8B3"/>
    <w:rsid w:val="42FCAA0A"/>
    <w:rsid w:val="431AF145"/>
    <w:rsid w:val="4353F2FE"/>
    <w:rsid w:val="4373EF11"/>
    <w:rsid w:val="43C55916"/>
    <w:rsid w:val="43F11B43"/>
    <w:rsid w:val="444A9016"/>
    <w:rsid w:val="44EFA7A0"/>
    <w:rsid w:val="44F9D34B"/>
    <w:rsid w:val="451FBDA3"/>
    <w:rsid w:val="4521A68B"/>
    <w:rsid w:val="46836844"/>
    <w:rsid w:val="46B48F30"/>
    <w:rsid w:val="46B48F30"/>
    <w:rsid w:val="47B02218"/>
    <w:rsid w:val="482FEB34"/>
    <w:rsid w:val="48849181"/>
    <w:rsid w:val="489866B0"/>
    <w:rsid w:val="490EFD0B"/>
    <w:rsid w:val="4A150C33"/>
    <w:rsid w:val="4A24EDAF"/>
    <w:rsid w:val="4A5A47C4"/>
    <w:rsid w:val="4A839704"/>
    <w:rsid w:val="4AE73A1A"/>
    <w:rsid w:val="4B09C078"/>
    <w:rsid w:val="4C89EF59"/>
    <w:rsid w:val="4CC4F1C7"/>
    <w:rsid w:val="4DC37DAC"/>
    <w:rsid w:val="4DF288A3"/>
    <w:rsid w:val="4E2431D8"/>
    <w:rsid w:val="4E967C38"/>
    <w:rsid w:val="4EF34917"/>
    <w:rsid w:val="4EF6F485"/>
    <w:rsid w:val="4F219AF9"/>
    <w:rsid w:val="4FDAFBF6"/>
    <w:rsid w:val="504E6A6E"/>
    <w:rsid w:val="507404E9"/>
    <w:rsid w:val="514EF284"/>
    <w:rsid w:val="5240FE0F"/>
    <w:rsid w:val="5379F8ED"/>
    <w:rsid w:val="53CD1FB3"/>
    <w:rsid w:val="53D50A22"/>
    <w:rsid w:val="53D50A22"/>
    <w:rsid w:val="547D4602"/>
    <w:rsid w:val="554A5D0C"/>
    <w:rsid w:val="555B6DEF"/>
    <w:rsid w:val="55D34672"/>
    <w:rsid w:val="562C2E23"/>
    <w:rsid w:val="5642D916"/>
    <w:rsid w:val="5651E777"/>
    <w:rsid w:val="5681C296"/>
    <w:rsid w:val="57276899"/>
    <w:rsid w:val="577E1528"/>
    <w:rsid w:val="579307ED"/>
    <w:rsid w:val="57FF5136"/>
    <w:rsid w:val="5805764F"/>
    <w:rsid w:val="5853894A"/>
    <w:rsid w:val="59125339"/>
    <w:rsid w:val="59C2788E"/>
    <w:rsid w:val="59DAC72A"/>
    <w:rsid w:val="59E11B02"/>
    <w:rsid w:val="5A63A5DF"/>
    <w:rsid w:val="5A9E26C0"/>
    <w:rsid w:val="5B15C069"/>
    <w:rsid w:val="5CC0C0E6"/>
    <w:rsid w:val="5D2A7620"/>
    <w:rsid w:val="5E269487"/>
    <w:rsid w:val="5FF5FFFB"/>
    <w:rsid w:val="6074C8C2"/>
    <w:rsid w:val="607DDA97"/>
    <w:rsid w:val="60E50A2F"/>
    <w:rsid w:val="60EEADB7"/>
    <w:rsid w:val="61210AD7"/>
    <w:rsid w:val="61449223"/>
    <w:rsid w:val="61B12B58"/>
    <w:rsid w:val="61B19EEA"/>
    <w:rsid w:val="62468979"/>
    <w:rsid w:val="624F644D"/>
    <w:rsid w:val="6257CDF4"/>
    <w:rsid w:val="62894ED1"/>
    <w:rsid w:val="62D167B8"/>
    <w:rsid w:val="62DD81C4"/>
    <w:rsid w:val="6343DD4F"/>
    <w:rsid w:val="636A1E1B"/>
    <w:rsid w:val="63825690"/>
    <w:rsid w:val="64609216"/>
    <w:rsid w:val="64DE152B"/>
    <w:rsid w:val="67419D28"/>
    <w:rsid w:val="67B02342"/>
    <w:rsid w:val="67F999FC"/>
    <w:rsid w:val="69E75708"/>
    <w:rsid w:val="6A303845"/>
    <w:rsid w:val="6AA92F6C"/>
    <w:rsid w:val="6ADED347"/>
    <w:rsid w:val="6B3FC0C2"/>
    <w:rsid w:val="6B83FAA9"/>
    <w:rsid w:val="6BA48235"/>
    <w:rsid w:val="6C5532CC"/>
    <w:rsid w:val="6C9710B0"/>
    <w:rsid w:val="6D5E6967"/>
    <w:rsid w:val="6D778CAA"/>
    <w:rsid w:val="6E24C1A8"/>
    <w:rsid w:val="6E3B56DD"/>
    <w:rsid w:val="6EAA5C32"/>
    <w:rsid w:val="6EAD5A15"/>
    <w:rsid w:val="6F64CC78"/>
    <w:rsid w:val="701D9E17"/>
    <w:rsid w:val="703E35D6"/>
    <w:rsid w:val="705E3CF5"/>
    <w:rsid w:val="707070C7"/>
    <w:rsid w:val="7181B025"/>
    <w:rsid w:val="7248F2B2"/>
    <w:rsid w:val="72637CE3"/>
    <w:rsid w:val="7272207C"/>
    <w:rsid w:val="729E96E5"/>
    <w:rsid w:val="72D2A1A1"/>
    <w:rsid w:val="73716F68"/>
    <w:rsid w:val="7458E9A3"/>
    <w:rsid w:val="751CFF4C"/>
    <w:rsid w:val="75C37979"/>
    <w:rsid w:val="76B7660E"/>
    <w:rsid w:val="76C9ED9D"/>
    <w:rsid w:val="76E95CF2"/>
    <w:rsid w:val="771D2C3B"/>
    <w:rsid w:val="77D64E65"/>
    <w:rsid w:val="77EAC9AF"/>
    <w:rsid w:val="786406BA"/>
    <w:rsid w:val="787BDA62"/>
    <w:rsid w:val="798442CB"/>
    <w:rsid w:val="79D9090C"/>
    <w:rsid w:val="7ADDA668"/>
    <w:rsid w:val="7ADFBEDC"/>
    <w:rsid w:val="7BD7983B"/>
    <w:rsid w:val="7C9B5865"/>
    <w:rsid w:val="7CAF2F51"/>
    <w:rsid w:val="7CC3DE8E"/>
    <w:rsid w:val="7CE67BB1"/>
    <w:rsid w:val="7DEADEB8"/>
    <w:rsid w:val="7E885162"/>
    <w:rsid w:val="7EB8484D"/>
    <w:rsid w:val="7EDE9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07C44"/>
  <w15:chartTrackingRefBased/>
  <w15:docId w15:val="{665DEA9D-F319-4F36-AEA7-05EC3A66A8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022DB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EF34917"/>
    <w:rPr>
      <w:color w:val="467886"/>
      <w:u w:val="single"/>
    </w:r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a56915d972b4ff6" /><Relationship Type="http://schemas.openxmlformats.org/officeDocument/2006/relationships/hyperlink" Target="https://www.sec.gov/Archives/edgar/data/27419/000002741920000008/tgt-20200201.htm" TargetMode="External" Id="R57eb3fc953f54eb0" /><Relationship Type="http://schemas.openxmlformats.org/officeDocument/2006/relationships/hyperlink" Target="https://www.sec.gov/Archives/edgar/data/27419/000002741921000010/tgt-20210130.htm" TargetMode="External" Id="R1920c2b950354bc0" /><Relationship Type="http://schemas.openxmlformats.org/officeDocument/2006/relationships/hyperlink" Target="https://www.sec.gov/Archives/edgar/data/27419/000002741922000007/tgt-20220129.htm" TargetMode="External" Id="R326c201f43104b3e" /><Relationship Type="http://schemas.openxmlformats.org/officeDocument/2006/relationships/hyperlink" Target="https://www.sec.gov/Archives/edgar/data/27419/000002741923000015/tgt-20230128.htm" TargetMode="External" Id="R218e6aa6d71b4563" /><Relationship Type="http://schemas.openxmlformats.org/officeDocument/2006/relationships/hyperlink" Target="https://www.sec.gov/Archives/edgar/data/27419/000002741924000032/tgt-20240203.htm" TargetMode="External" Id="R29b73dffcfbc40ce" /><Relationship Type="http://schemas.openxmlformats.org/officeDocument/2006/relationships/hyperlink" Target="https://www.sec.gov/Archives/edgar/data/27419/000002741925000018/tgt-20250201.htm" TargetMode="External" Id="R55cc1efc617f43ca" /><Relationship Type="http://schemas.openxmlformats.org/officeDocument/2006/relationships/hyperlink" Target="https://finance.yahoo.com/quote/TGT/history/" TargetMode="External" Id="R7e824ac2c1fc4e2f" /><Relationship Type="http://schemas.microsoft.com/office/2020/10/relationships/intelligence" Target="intelligence2.xml" Id="R5de1eb6912b548f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2026-09-25T21:56:17.1919154Z</dcterms:created>
  <dcterms:modified xsi:type="dcterms:W3CDTF">2026-09-28T20:58:50.6746207Z</dcterms:modified>
  <dc:creator>Idle, Justin</dc:creator>
  <lastModifiedBy>Gould, Maleigha</lastModifiedBy>
</coreProperties>
</file>