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A56DB"/>
          <w:sz w:val="40"/>
          <w:szCs w:val="40"/>
        </w:rPr>
        <w:t xml:space="preserve">DEVANSH KOYANI</w:t>
      </w:r>
    </w:p>
    <w:p>
      <w:pPr>
        <w:spacing w:after="30" w:before="0"/>
        <w:jc w:val="center"/>
      </w:pPr>
      <w:r>
        <w:rPr>
          <w:rFonts w:ascii="Arial" w:cs="Arial" w:eastAsia="Arial" w:hAnsi="Arial"/>
          <w:color w:val="374151"/>
          <w:sz w:val="20"/>
          <w:szCs w:val="20"/>
        </w:rPr>
        <w:t xml:space="preserve">Cybersecurity Engineer  |  SOC &amp; Incident Response  |  DFIR</w:t>
      </w:r>
    </w:p>
    <w:p>
      <w:pPr>
        <w:spacing w:after="140" w:before="0"/>
        <w:jc w:val="center"/>
      </w:pPr>
      <w:r>
        <w:rPr>
          <w:rFonts w:ascii="Arial" w:cs="Arial" w:eastAsia="Arial" w:hAnsi="Arial"/>
          <w:color w:val="374151"/>
          <w:sz w:val="18"/>
          <w:szCs w:val="18"/>
        </w:rPr>
        <w:t xml:space="preserve">+91 8469037799  •  devanshkoyani1@gmail.com  •  Ahmedabad, India</w:t>
      </w:r>
    </w:p>
    <w:p>
      <w:pPr>
        <w:pBdr>
          <w:bottom w:val="single" w:color="1A56DB" w:sz="8" w:space="2"/>
        </w:pBdr>
        <w:spacing w:after="60" w:before="200"/>
      </w:pPr>
      <w:r>
        <w:rPr>
          <w:rFonts w:ascii="Arial" w:cs="Arial" w:eastAsia="Arial" w:hAnsi="Arial"/>
          <w:b/>
          <w:bCs/>
          <w:color w:val="1A56DB"/>
          <w:sz w:val="22"/>
          <w:szCs w:val="22"/>
        </w:rPr>
        <w:t xml:space="preserve">PROFESSIONAL PROFILE</w:t>
      </w:r>
    </w:p>
    <w:p>
      <w:pPr>
        <w:spacing w:after="80" w:before="80"/>
      </w:pPr>
      <w:r>
        <w:rPr>
          <w:rFonts w:ascii="Arial" w:cs="Arial" w:eastAsia="Arial" w:hAnsi="Arial"/>
          <w:color w:val="111827"/>
          <w:sz w:val="19"/>
          <w:szCs w:val="19"/>
        </w:rPr>
        <w:t xml:space="preserve">B.Tech Cybersecurity student (8th Semester) with active, hands-on experience in SOC operations and end-to-end incident response at Drona Cyber Solutions — handling live ransomware investigations, criminal mobile device forensics, and multi-stakeholder case coordination. Proficient in SIEM platforms (Wazuh, IBM QRadar), digital forensics tools (Belkasoft, Magnet AXIOM, FTK), and structured threat analysis workflows. Experienced in monitoring and triaging security alerts, correlating IOCs, performing vulnerability assessments, and producing governance-ready incident reports. Complemented by strong networking fundamentals (Cisco CCNA), Python scripting, and a continuous-learning mindset — actively tracking the evolving cyber threat landscape through certifications, labs, and real-world casework.</w:t>
      </w:r>
    </w:p>
    <w:p>
      <w:pPr>
        <w:spacing w:after="0" w:before="100"/>
      </w:pPr>
      <w:r>
        <w:t xml:space="preserve"/>
      </w:r>
    </w:p>
    <w:p>
      <w:pPr>
        <w:pBdr>
          <w:bottom w:val="single" w:color="1A56DB" w:sz="8" w:space="2"/>
        </w:pBdr>
        <w:spacing w:after="60" w:before="200"/>
      </w:pPr>
      <w:r>
        <w:rPr>
          <w:rFonts w:ascii="Arial" w:cs="Arial" w:eastAsia="Arial" w:hAnsi="Arial"/>
          <w:b/>
          <w:bCs/>
          <w:color w:val="1A56DB"/>
          <w:sz w:val="22"/>
          <w:szCs w:val="22"/>
        </w:rPr>
        <w:t xml:space="preserve">TECHNICAL SKILLS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EBF2FF" w:val="clear"/>
            <w:tcMar>
              <w:top w:type="dxa" w:w="70"/>
              <w:left w:type="dxa" w:w="120"/>
              <w:bottom w:type="dxa" w:w="70"/>
              <w:right w:type="dxa" w:w="120"/>
            </w:tcMar>
          </w:tcPr>
          <w:p>
            <w:r>
              <w:rPr>
                <w:rFonts w:ascii="Arial" w:cs="Arial" w:eastAsia="Arial" w:hAnsi="Arial"/>
                <w:b/>
                <w:bCs/>
                <w:color w:val="1A56DB"/>
                <w:sz w:val="18"/>
                <w:szCs w:val="18"/>
              </w:rPr>
              <w:t xml:space="preserve">SOC &amp; SIEM</w:t>
            </w:r>
          </w:p>
        </w:tc>
        <w:tc>
          <w:tcPr>
            <w:tcW w:type="dxa" w:w="7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111827"/>
                <w:sz w:val="18"/>
                <w:szCs w:val="18"/>
              </w:rPr>
              <w:t xml:space="preserve">Wazuh, IBM QRadar, IBM Guardium, Log Monitoring &amp; Alerting, IOC Correlation, Incident Triage</w:t>
            </w:r>
          </w:p>
        </w:tc>
      </w:tr>
      <w:tr>
        <w:tc>
          <w:tcPr>
            <w:tcW w:type="dxa" w:w="2000"/>
            <w:tcBorders>
              <w:top w:val="single" w:color="D1D5DB" w:sz="1"/>
              <w:left w:val="single" w:color="D1D5DB" w:sz="1"/>
              <w:bottom w:val="single" w:color="D1D5DB" w:sz="1"/>
              <w:right w:val="single" w:color="D1D5DB" w:sz="1"/>
            </w:tcBorders>
            <w:shd w:fill="EBF2FF" w:val="clear"/>
            <w:tcMar>
              <w:top w:type="dxa" w:w="70"/>
              <w:left w:type="dxa" w:w="120"/>
              <w:bottom w:type="dxa" w:w="70"/>
              <w:right w:type="dxa" w:w="120"/>
            </w:tcMar>
          </w:tcPr>
          <w:p>
            <w:r>
              <w:rPr>
                <w:rFonts w:ascii="Arial" w:cs="Arial" w:eastAsia="Arial" w:hAnsi="Arial"/>
                <w:b/>
                <w:bCs/>
                <w:color w:val="1A56DB"/>
                <w:sz w:val="18"/>
                <w:szCs w:val="18"/>
              </w:rPr>
              <w:t xml:space="preserve">Incident Response</w:t>
            </w:r>
          </w:p>
        </w:tc>
        <w:tc>
          <w:tcPr>
            <w:tcW w:type="dxa" w:w="7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111827"/>
                <w:sz w:val="18"/>
                <w:szCs w:val="18"/>
              </w:rPr>
              <w:t xml:space="preserve">Threat Containment &amp; Mitigation, End-to-End IR, Evidence Acquisition, Post-Incident Reporting</w:t>
            </w:r>
          </w:p>
        </w:tc>
      </w:tr>
      <w:tr>
        <w:tc>
          <w:tcPr>
            <w:tcW w:type="dxa" w:w="2000"/>
            <w:tcBorders>
              <w:top w:val="single" w:color="D1D5DB" w:sz="1"/>
              <w:left w:val="single" w:color="D1D5DB" w:sz="1"/>
              <w:bottom w:val="single" w:color="D1D5DB" w:sz="1"/>
              <w:right w:val="single" w:color="D1D5DB" w:sz="1"/>
            </w:tcBorders>
            <w:shd w:fill="EBF2FF" w:val="clear"/>
            <w:tcMar>
              <w:top w:type="dxa" w:w="70"/>
              <w:left w:type="dxa" w:w="120"/>
              <w:bottom w:type="dxa" w:w="70"/>
              <w:right w:type="dxa" w:w="120"/>
            </w:tcMar>
          </w:tcPr>
          <w:p>
            <w:r>
              <w:rPr>
                <w:rFonts w:ascii="Arial" w:cs="Arial" w:eastAsia="Arial" w:hAnsi="Arial"/>
                <w:b/>
                <w:bCs/>
                <w:color w:val="1A56DB"/>
                <w:sz w:val="18"/>
                <w:szCs w:val="18"/>
              </w:rPr>
              <w:t xml:space="preserve">DFIR</w:t>
            </w:r>
          </w:p>
        </w:tc>
        <w:tc>
          <w:tcPr>
            <w:tcW w:type="dxa" w:w="7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111827"/>
                <w:sz w:val="18"/>
                <w:szCs w:val="18"/>
              </w:rPr>
              <w:t xml:space="preserve">Velociraptor (VQL, Endpoint Visibility, Threat Hunting), Belkasoft Evidence Center, Magnet AXIOM, FTK, Memory Analysis, Chain-of-Custody</w:t>
            </w:r>
          </w:p>
        </w:tc>
      </w:tr>
      <w:tr>
        <w:tc>
          <w:tcPr>
            <w:tcW w:type="dxa" w:w="2000"/>
            <w:tcBorders>
              <w:top w:val="single" w:color="D1D5DB" w:sz="1"/>
              <w:left w:val="single" w:color="D1D5DB" w:sz="1"/>
              <w:bottom w:val="single" w:color="D1D5DB" w:sz="1"/>
              <w:right w:val="single" w:color="D1D5DB" w:sz="1"/>
            </w:tcBorders>
            <w:shd w:fill="EBF2FF" w:val="clear"/>
            <w:tcMar>
              <w:top w:type="dxa" w:w="70"/>
              <w:left w:type="dxa" w:w="120"/>
              <w:bottom w:type="dxa" w:w="70"/>
              <w:right w:type="dxa" w:w="120"/>
            </w:tcMar>
          </w:tcPr>
          <w:p>
            <w:r>
              <w:rPr>
                <w:rFonts w:ascii="Arial" w:cs="Arial" w:eastAsia="Arial" w:hAnsi="Arial"/>
                <w:b/>
                <w:bCs/>
                <w:color w:val="1A56DB"/>
                <w:sz w:val="18"/>
                <w:szCs w:val="18"/>
              </w:rPr>
              <w:t xml:space="preserve">Threat Analysis</w:t>
            </w:r>
          </w:p>
        </w:tc>
        <w:tc>
          <w:tcPr>
            <w:tcW w:type="dxa" w:w="7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111827"/>
                <w:sz w:val="18"/>
                <w:szCs w:val="18"/>
              </w:rPr>
              <w:t xml:space="preserve">Threat Intelligence, Vulnerability Assessment, Ethical Hacking, PortSwigger Web Security Labs</w:t>
            </w:r>
          </w:p>
        </w:tc>
      </w:tr>
      <w:tr>
        <w:tc>
          <w:tcPr>
            <w:tcW w:type="dxa" w:w="2000"/>
            <w:tcBorders>
              <w:top w:val="single" w:color="D1D5DB" w:sz="1"/>
              <w:left w:val="single" w:color="D1D5DB" w:sz="1"/>
              <w:bottom w:val="single" w:color="D1D5DB" w:sz="1"/>
              <w:right w:val="single" w:color="D1D5DB" w:sz="1"/>
            </w:tcBorders>
            <w:shd w:fill="EBF2FF" w:val="clear"/>
            <w:tcMar>
              <w:top w:type="dxa" w:w="70"/>
              <w:left w:type="dxa" w:w="120"/>
              <w:bottom w:type="dxa" w:w="70"/>
              <w:right w:type="dxa" w:w="120"/>
            </w:tcMar>
          </w:tcPr>
          <w:p>
            <w:r>
              <w:rPr>
                <w:rFonts w:ascii="Arial" w:cs="Arial" w:eastAsia="Arial" w:hAnsi="Arial"/>
                <w:b/>
                <w:bCs/>
                <w:color w:val="1A56DB"/>
                <w:sz w:val="18"/>
                <w:szCs w:val="18"/>
              </w:rPr>
              <w:t xml:space="preserve">Networking</w:t>
            </w:r>
          </w:p>
        </w:tc>
        <w:tc>
          <w:tcPr>
            <w:tcW w:type="dxa" w:w="7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111827"/>
                <w:sz w:val="18"/>
                <w:szCs w:val="18"/>
              </w:rPr>
              <w:t xml:space="preserve">Cisco CCNA (3 levels), 802.11 Wireless, Ansible IaC, Server Hardening</w:t>
            </w:r>
          </w:p>
        </w:tc>
      </w:tr>
      <w:tr>
        <w:tc>
          <w:tcPr>
            <w:tcW w:type="dxa" w:w="2000"/>
            <w:tcBorders>
              <w:top w:val="single" w:color="D1D5DB" w:sz="1"/>
              <w:left w:val="single" w:color="D1D5DB" w:sz="1"/>
              <w:bottom w:val="single" w:color="D1D5DB" w:sz="1"/>
              <w:right w:val="single" w:color="D1D5DB" w:sz="1"/>
            </w:tcBorders>
            <w:shd w:fill="EBF2FF" w:val="clear"/>
            <w:tcMar>
              <w:top w:type="dxa" w:w="70"/>
              <w:left w:type="dxa" w:w="120"/>
              <w:bottom w:type="dxa" w:w="70"/>
              <w:right w:type="dxa" w:w="120"/>
            </w:tcMar>
          </w:tcPr>
          <w:p>
            <w:r>
              <w:rPr>
                <w:rFonts w:ascii="Arial" w:cs="Arial" w:eastAsia="Arial" w:hAnsi="Arial"/>
                <w:b/>
                <w:bCs/>
                <w:color w:val="1A56DB"/>
                <w:sz w:val="18"/>
                <w:szCs w:val="18"/>
              </w:rPr>
              <w:t xml:space="preserve">Programming</w:t>
            </w:r>
          </w:p>
        </w:tc>
        <w:tc>
          <w:tcPr>
            <w:tcW w:type="dxa" w:w="7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111827"/>
                <w:sz w:val="18"/>
                <w:szCs w:val="18"/>
              </w:rPr>
              <w:t xml:space="preserve">Python, C, C++, Java, SQL, Flask, Node.js, HTML, Tailwind CSS</w:t>
            </w:r>
          </w:p>
        </w:tc>
      </w:tr>
      <w:tr>
        <w:tc>
          <w:tcPr>
            <w:tcW w:type="dxa" w:w="2000"/>
            <w:tcBorders>
              <w:top w:val="single" w:color="D1D5DB" w:sz="1"/>
              <w:left w:val="single" w:color="D1D5DB" w:sz="1"/>
              <w:bottom w:val="single" w:color="D1D5DB" w:sz="1"/>
              <w:right w:val="single" w:color="D1D5DB" w:sz="1"/>
            </w:tcBorders>
            <w:shd w:fill="EBF2FF" w:val="clear"/>
            <w:tcMar>
              <w:top w:type="dxa" w:w="70"/>
              <w:left w:type="dxa" w:w="120"/>
              <w:bottom w:type="dxa" w:w="70"/>
              <w:right w:type="dxa" w:w="120"/>
            </w:tcMar>
          </w:tcPr>
          <w:p>
            <w:r>
              <w:rPr>
                <w:rFonts w:ascii="Arial" w:cs="Arial" w:eastAsia="Arial" w:hAnsi="Arial"/>
                <w:b/>
                <w:bCs/>
                <w:color w:val="1A56DB"/>
                <w:sz w:val="18"/>
                <w:szCs w:val="18"/>
              </w:rPr>
              <w:t xml:space="preserve">GRC</w:t>
            </w:r>
          </w:p>
        </w:tc>
        <w:tc>
          <w:tcPr>
            <w:tcW w:type="dxa" w:w="7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111827"/>
                <w:sz w:val="18"/>
                <w:szCs w:val="18"/>
              </w:rPr>
              <w:t xml:space="preserve">ISO 27001, NIST, Risk Assessment, BCP/DR, Audit Reporting</w:t>
            </w:r>
          </w:p>
        </w:tc>
      </w:tr>
    </w:tbl>
    <w:p>
      <w:pPr>
        <w:spacing w:after="0" w:before="120"/>
      </w:pPr>
      <w:r>
        <w:t xml:space="preserve"/>
      </w:r>
    </w:p>
    <w:p>
      <w:pPr>
        <w:pBdr>
          <w:bottom w:val="single" w:color="1A56DB" w:sz="8" w:space="2"/>
        </w:pBdr>
        <w:spacing w:after="60" w:before="200"/>
      </w:pPr>
      <w:r>
        <w:rPr>
          <w:rFonts w:ascii="Arial" w:cs="Arial" w:eastAsia="Arial" w:hAnsi="Arial"/>
          <w:b/>
          <w:bCs/>
          <w:color w:val="1A56DB"/>
          <w:sz w:val="22"/>
          <w:szCs w:val="22"/>
        </w:rPr>
        <w:t xml:space="preserve">WORK EXPERIENCE</w:t>
      </w:r>
    </w:p>
    <w:p>
      <w:pPr>
        <w:spacing w:after="0" w:before="6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000"/>
        <w:gridCol w:w="3360"/>
      </w:tblGrid>
      <w:tr>
        <w:tc>
          <w:tcPr>
            <w:tcW w:type="dxa" w:w="6000"/>
            <w:tcBorders>
              <w:top w:val="nil" w:color="FFFFFF" w:sz="0"/>
              <w:left w:val="nil" w:color="FFFFFF" w:sz="0"/>
              <w:bottom w:val="nil" w:color="FFFFFF" w:sz="0"/>
              <w:right w:val="nil" w:color="FFFFFF" w:sz="0"/>
            </w:tcBorders>
          </w:tcPr>
          <w:p>
            <w:pPr>
              <w:spacing w:after="0" w:before="60"/>
            </w:pPr>
            <w:r>
              <w:rPr>
                <w:rFonts w:ascii="Arial" w:cs="Arial" w:eastAsia="Arial" w:hAnsi="Arial"/>
                <w:b/>
                <w:bCs/>
                <w:color w:val="111827"/>
                <w:sz w:val="21"/>
                <w:szCs w:val="21"/>
              </w:rPr>
              <w:t xml:space="preserve">DFIR Analyst (Intern)</w:t>
            </w:r>
          </w:p>
          <w:p>
            <w:pPr>
              <w:spacing w:after="0" w:before="20"/>
            </w:pPr>
            <w:r>
              <w:rPr>
                <w:rFonts w:ascii="Arial" w:cs="Arial" w:eastAsia="Arial" w:hAnsi="Arial"/>
                <w:i/>
                <w:iCs/>
                <w:color w:val="374151"/>
                <w:sz w:val="19"/>
                <w:szCs w:val="19"/>
              </w:rPr>
              <w:t xml:space="preserve">Drona Cyber Solutions  |  India</w:t>
            </w:r>
          </w:p>
        </w:tc>
        <w:tc>
          <w:tcPr>
            <w:tcW w:type="dxa" w:w="3360"/>
            <w:tcBorders>
              <w:top w:val="nil" w:color="FFFFFF" w:sz="0"/>
              <w:left w:val="nil" w:color="FFFFFF" w:sz="0"/>
              <w:bottom w:val="nil" w:color="FFFFFF" w:sz="0"/>
              <w:right w:val="nil" w:color="FFFFFF" w:sz="0"/>
            </w:tcBorders>
            <w:vAlign w:val="center"/>
          </w:tcPr>
          <w:p>
            <w:pPr>
              <w:spacing w:after="0" w:before="60"/>
              <w:jc w:val="right"/>
            </w:pPr>
            <w:r>
              <w:rPr>
                <w:rFonts w:ascii="Arial" w:cs="Arial" w:eastAsia="Arial" w:hAnsi="Arial"/>
                <w:color w:val="374151"/>
                <w:sz w:val="19"/>
                <w:szCs w:val="19"/>
              </w:rPr>
              <w:t xml:space="preserve">Jan 2026 – Present</w:t>
            </w:r>
          </w:p>
        </w:tc>
      </w:tr>
    </w:tbl>
    <w:p>
      <w:pPr>
        <w:pStyle w:val="ListParagraph"/>
        <w:numPr>
          <w:ilvl w:val="0"/>
          <w:numId w:val="2"/>
        </w:numPr>
        <w:spacing w:after="30" w:before="30"/>
      </w:pPr>
      <w:r>
        <w:rPr>
          <w:rFonts w:ascii="Arial" w:cs="Arial" w:eastAsia="Arial" w:hAnsi="Arial"/>
          <w:color w:val="111827"/>
          <w:sz w:val="19"/>
          <w:szCs w:val="19"/>
        </w:rPr>
        <w:t xml:space="preserve">Monitored, investigated, and responded to active security threats — including live ransomware cases and criminal mobile device forensics — taking containment and mitigation actions end-to-end.</w:t>
      </w:r>
    </w:p>
    <w:p>
      <w:pPr>
        <w:pStyle w:val="ListParagraph"/>
        <w:numPr>
          <w:ilvl w:val="0"/>
          <w:numId w:val="2"/>
        </w:numPr>
        <w:spacing w:after="30" w:before="30"/>
      </w:pPr>
      <w:r>
        <w:rPr>
          <w:rFonts w:ascii="Arial" w:cs="Arial" w:eastAsia="Arial" w:hAnsi="Arial"/>
          <w:color w:val="111827"/>
          <w:sz w:val="19"/>
          <w:szCs w:val="19"/>
        </w:rPr>
        <w:t xml:space="preserve">Leveraged Velociraptor for deep endpoint visibility and threat hunting — deployed VQL queries to collect and analyze artifacts across Windows systems during active incident investigations.</w:t>
      </w:r>
    </w:p>
    <w:p>
      <w:pPr>
        <w:pStyle w:val="ListParagraph"/>
        <w:numPr>
          <w:ilvl w:val="0"/>
          <w:numId w:val="2"/>
        </w:numPr>
        <w:spacing w:after="30" w:before="30"/>
      </w:pPr>
      <w:r>
        <w:rPr>
          <w:rFonts w:ascii="Arial" w:cs="Arial" w:eastAsia="Arial" w:hAnsi="Arial"/>
          <w:color w:val="111827"/>
          <w:sz w:val="19"/>
          <w:szCs w:val="19"/>
        </w:rPr>
        <w:t xml:space="preserve">Participated in rigorous incident investigations: evidence acquisition, timeline reconstruction, IOC analysis, and structured post-incident reporting for law enforcement and C-suite stakeholders.</w:t>
      </w:r>
    </w:p>
    <w:p>
      <w:pPr>
        <w:pStyle w:val="ListParagraph"/>
        <w:numPr>
          <w:ilvl w:val="0"/>
          <w:numId w:val="2"/>
        </w:numPr>
        <w:spacing w:after="30" w:before="30"/>
      </w:pPr>
      <w:r>
        <w:rPr>
          <w:rFonts w:ascii="Arial" w:cs="Arial" w:eastAsia="Arial" w:hAnsi="Arial"/>
          <w:color w:val="111827"/>
          <w:sz w:val="19"/>
          <w:szCs w:val="19"/>
        </w:rPr>
        <w:t xml:space="preserve">Performed security &amp; compliance audits: control assessments, vulnerability identification, and audit reports aligned to ISO 27001 and NIST frameworks.</w:t>
      </w:r>
    </w:p>
    <w:p>
      <w:pPr>
        <w:pStyle w:val="ListParagraph"/>
        <w:numPr>
          <w:ilvl w:val="0"/>
          <w:numId w:val="2"/>
        </w:numPr>
        <w:spacing w:after="30" w:before="30"/>
      </w:pPr>
      <w:r>
        <w:rPr>
          <w:rFonts w:ascii="Arial" w:cs="Arial" w:eastAsia="Arial" w:hAnsi="Arial"/>
          <w:color w:val="111827"/>
          <w:sz w:val="19"/>
          <w:szCs w:val="19"/>
        </w:rPr>
        <w:t xml:space="preserve">Coordinated cross-functionally across concurrent cases with chain-of-custody documentation and multi-stakeholder communication.</w:t>
      </w:r>
    </w:p>
    <w:p>
      <w:pPr>
        <w:spacing w:after="0" w:before="8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000"/>
        <w:gridCol w:w="3360"/>
      </w:tblGrid>
      <w:tr>
        <w:tc>
          <w:tcPr>
            <w:tcW w:type="dxa" w:w="6000"/>
            <w:tcBorders>
              <w:top w:val="nil" w:color="FFFFFF" w:sz="0"/>
              <w:left w:val="nil" w:color="FFFFFF" w:sz="0"/>
              <w:bottom w:val="nil" w:color="FFFFFF" w:sz="0"/>
              <w:right w:val="nil" w:color="FFFFFF" w:sz="0"/>
            </w:tcBorders>
          </w:tcPr>
          <w:p>
            <w:pPr>
              <w:spacing w:after="0" w:before="60"/>
            </w:pPr>
            <w:r>
              <w:rPr>
                <w:rFonts w:ascii="Arial" w:cs="Arial" w:eastAsia="Arial" w:hAnsi="Arial"/>
                <w:b/>
                <w:bCs/>
                <w:color w:val="111827"/>
                <w:sz w:val="21"/>
                <w:szCs w:val="21"/>
              </w:rPr>
              <w:t xml:space="preserve">React.js Developer Intern</w:t>
            </w:r>
          </w:p>
          <w:p>
            <w:pPr>
              <w:spacing w:after="0" w:before="20"/>
            </w:pPr>
            <w:r>
              <w:rPr>
                <w:rFonts w:ascii="Arial" w:cs="Arial" w:eastAsia="Arial" w:hAnsi="Arial"/>
                <w:i/>
                <w:iCs/>
                <w:color w:val="374151"/>
                <w:sz w:val="19"/>
                <w:szCs w:val="19"/>
              </w:rPr>
              <w:t xml:space="preserve">Tark Technologies  |  Ahmedabad</w:t>
            </w:r>
          </w:p>
        </w:tc>
        <w:tc>
          <w:tcPr>
            <w:tcW w:type="dxa" w:w="3360"/>
            <w:tcBorders>
              <w:top w:val="nil" w:color="FFFFFF" w:sz="0"/>
              <w:left w:val="nil" w:color="FFFFFF" w:sz="0"/>
              <w:bottom w:val="nil" w:color="FFFFFF" w:sz="0"/>
              <w:right w:val="nil" w:color="FFFFFF" w:sz="0"/>
            </w:tcBorders>
            <w:vAlign w:val="center"/>
          </w:tcPr>
          <w:p>
            <w:pPr>
              <w:spacing w:after="0" w:before="60"/>
              <w:jc w:val="right"/>
            </w:pPr>
            <w:r>
              <w:rPr>
                <w:rFonts w:ascii="Arial" w:cs="Arial" w:eastAsia="Arial" w:hAnsi="Arial"/>
                <w:color w:val="374151"/>
                <w:sz w:val="19"/>
                <w:szCs w:val="19"/>
              </w:rPr>
              <w:t xml:space="preserve">Jun 2024 – Jul 2024</w:t>
            </w:r>
          </w:p>
        </w:tc>
      </w:tr>
    </w:tbl>
    <w:p>
      <w:pPr>
        <w:pStyle w:val="ListParagraph"/>
        <w:numPr>
          <w:ilvl w:val="0"/>
          <w:numId w:val="2"/>
        </w:numPr>
        <w:spacing w:after="30" w:before="30"/>
      </w:pPr>
      <w:r>
        <w:rPr>
          <w:rFonts w:ascii="Arial" w:cs="Arial" w:eastAsia="Arial" w:hAnsi="Arial"/>
          <w:color w:val="111827"/>
          <w:sz w:val="19"/>
          <w:szCs w:val="19"/>
        </w:rPr>
        <w:t xml:space="preserve">Applied secure coding practices and security-by-design principles; contributed to code review workflows and governance documentation.</w:t>
      </w:r>
    </w:p>
    <w:p>
      <w:pPr>
        <w:spacing w:after="0" w:before="8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000"/>
        <w:gridCol w:w="3360"/>
      </w:tblGrid>
      <w:tr>
        <w:tc>
          <w:tcPr>
            <w:tcW w:type="dxa" w:w="6000"/>
            <w:tcBorders>
              <w:top w:val="nil" w:color="FFFFFF" w:sz="0"/>
              <w:left w:val="nil" w:color="FFFFFF" w:sz="0"/>
              <w:bottom w:val="nil" w:color="FFFFFF" w:sz="0"/>
              <w:right w:val="nil" w:color="FFFFFF" w:sz="0"/>
            </w:tcBorders>
          </w:tcPr>
          <w:p>
            <w:pPr>
              <w:spacing w:after="0" w:before="60"/>
            </w:pPr>
            <w:r>
              <w:rPr>
                <w:rFonts w:ascii="Arial" w:cs="Arial" w:eastAsia="Arial" w:hAnsi="Arial"/>
                <w:b/>
                <w:bCs/>
                <w:color w:val="111827"/>
                <w:sz w:val="21"/>
                <w:szCs w:val="21"/>
              </w:rPr>
              <w:t xml:space="preserve">Data Management &amp; IT Support Intern</w:t>
            </w:r>
          </w:p>
          <w:p>
            <w:pPr>
              <w:spacing w:after="0" w:before="20"/>
            </w:pPr>
            <w:r>
              <w:rPr>
                <w:rFonts w:ascii="Arial" w:cs="Arial" w:eastAsia="Arial" w:hAnsi="Arial"/>
                <w:i/>
                <w:iCs/>
                <w:color w:val="374151"/>
                <w:sz w:val="19"/>
                <w:szCs w:val="19"/>
              </w:rPr>
              <w:t xml:space="preserve">Karma Foundation  |  Ahmedabad</w:t>
            </w:r>
          </w:p>
        </w:tc>
        <w:tc>
          <w:tcPr>
            <w:tcW w:type="dxa" w:w="3360"/>
            <w:tcBorders>
              <w:top w:val="nil" w:color="FFFFFF" w:sz="0"/>
              <w:left w:val="nil" w:color="FFFFFF" w:sz="0"/>
              <w:bottom w:val="nil" w:color="FFFFFF" w:sz="0"/>
              <w:right w:val="nil" w:color="FFFFFF" w:sz="0"/>
            </w:tcBorders>
            <w:vAlign w:val="center"/>
          </w:tcPr>
          <w:p>
            <w:pPr>
              <w:spacing w:after="0" w:before="60"/>
              <w:jc w:val="right"/>
            </w:pPr>
            <w:r>
              <w:rPr>
                <w:rFonts w:ascii="Arial" w:cs="Arial" w:eastAsia="Arial" w:hAnsi="Arial"/>
                <w:color w:val="374151"/>
                <w:sz w:val="19"/>
                <w:szCs w:val="19"/>
              </w:rPr>
              <w:t xml:space="preserve">2023</w:t>
            </w:r>
          </w:p>
        </w:tc>
      </w:tr>
    </w:tbl>
    <w:p>
      <w:pPr>
        <w:pStyle w:val="ListParagraph"/>
        <w:numPr>
          <w:ilvl w:val="0"/>
          <w:numId w:val="2"/>
        </w:numPr>
        <w:spacing w:after="30" w:before="30"/>
      </w:pPr>
      <w:r>
        <w:rPr>
          <w:rFonts w:ascii="Arial" w:cs="Arial" w:eastAsia="Arial" w:hAnsi="Arial"/>
          <w:color w:val="111827"/>
          <w:sz w:val="19"/>
          <w:szCs w:val="19"/>
        </w:rPr>
        <w:t xml:space="preserve">Maintained data confidentiality and integrity across internal IT systems; contributed to compliance and documentation workflows.</w:t>
      </w:r>
    </w:p>
    <w:p>
      <w:pPr>
        <w:spacing w:after="0" w:before="120"/>
      </w:pPr>
      <w:r>
        <w:t xml:space="preserve"/>
      </w:r>
    </w:p>
    <w:p>
      <w:pPr>
        <w:pBdr>
          <w:bottom w:val="single" w:color="1A56DB" w:sz="8" w:space="2"/>
        </w:pBdr>
        <w:spacing w:after="60" w:before="200"/>
      </w:pPr>
      <w:r>
        <w:rPr>
          <w:rFonts w:ascii="Arial" w:cs="Arial" w:eastAsia="Arial" w:hAnsi="Arial"/>
          <w:b/>
          <w:bCs/>
          <w:color w:val="1A56DB"/>
          <w:sz w:val="22"/>
          <w:szCs w:val="22"/>
        </w:rPr>
        <w:t xml:space="preserve">KEY PROJECTS</w:t>
      </w:r>
    </w:p>
    <w:p>
      <w:pPr>
        <w:spacing w:after="0" w:before="60"/>
      </w:pPr>
      <w:r>
        <w:t xml:space="preserve"/>
      </w:r>
    </w:p>
    <w:p>
      <w:pPr>
        <w:spacing w:after="20" w:before="60"/>
      </w:pPr>
      <w:r>
        <w:rPr>
          <w:rFonts w:ascii="Arial" w:cs="Arial" w:eastAsia="Arial" w:hAnsi="Arial"/>
          <w:b/>
          <w:bCs/>
          <w:color w:val="111827"/>
          <w:sz w:val="20"/>
          <w:szCs w:val="20"/>
        </w:rPr>
        <w:t xml:space="preserve">SIEM &amp; SOC Monitoring Lab  (Wazuh / IBM QRadar)</w:t>
      </w:r>
    </w:p>
    <w:p>
      <w:pPr>
        <w:pStyle w:val="ListParagraph"/>
        <w:numPr>
          <w:ilvl w:val="0"/>
          <w:numId w:val="2"/>
        </w:numPr>
        <w:spacing w:after="30" w:before="30"/>
      </w:pPr>
      <w:r>
        <w:rPr>
          <w:rFonts w:ascii="Arial" w:cs="Arial" w:eastAsia="Arial" w:hAnsi="Arial"/>
          <w:color w:val="111827"/>
          <w:sz w:val="19"/>
          <w:szCs w:val="19"/>
        </w:rPr>
        <w:t xml:space="preserve">Deployed Wazuh SIEM to simulate SOC operations — configured log ingestion, detection rules, and dashboards; practiced incident triage, IOC correlation, and threat containment workflows directly relevant to cyber defense center operations.</w:t>
      </w:r>
    </w:p>
    <w:p>
      <w:pPr>
        <w:spacing w:after="20" w:before="80"/>
      </w:pPr>
      <w:r>
        <w:rPr>
          <w:rFonts w:ascii="Arial" w:cs="Arial" w:eastAsia="Arial" w:hAnsi="Arial"/>
          <w:b/>
          <w:bCs/>
          <w:color w:val="111827"/>
          <w:sz w:val="20"/>
          <w:szCs w:val="20"/>
        </w:rPr>
        <w:t xml:space="preserve">Digital Forensics Case Analysis  (Magnet AXIOM, FTK, Belkasoft)</w:t>
      </w:r>
    </w:p>
    <w:p>
      <w:pPr>
        <w:pStyle w:val="ListParagraph"/>
        <w:numPr>
          <w:ilvl w:val="0"/>
          <w:numId w:val="2"/>
        </w:numPr>
        <w:spacing w:after="30" w:before="30"/>
      </w:pPr>
      <w:r>
        <w:rPr>
          <w:rFonts w:ascii="Arial" w:cs="Arial" w:eastAsia="Arial" w:hAnsi="Arial"/>
          <w:color w:val="111827"/>
          <w:sz w:val="19"/>
          <w:szCs w:val="19"/>
        </w:rPr>
        <w:t xml:space="preserve">Conducted evidence acquisition and artifact analysis (memory dumps, file metadata, browser history, mobile forensics); produced chain-of-custody documentation and structured forensic reports.</w:t>
      </w:r>
    </w:p>
    <w:p>
      <w:pPr>
        <w:spacing w:after="20" w:before="80"/>
      </w:pPr>
      <w:r>
        <w:rPr>
          <w:rFonts w:ascii="Arial" w:cs="Arial" w:eastAsia="Arial" w:hAnsi="Arial"/>
          <w:b/>
          <w:bCs/>
          <w:color w:val="111827"/>
          <w:sz w:val="20"/>
          <w:szCs w:val="20"/>
        </w:rPr>
        <w:t xml:space="preserve">Chakra — Blockchain Analytics &amp; Crypto Forensics Platform</w:t>
      </w:r>
    </w:p>
    <w:p>
      <w:pPr>
        <w:pStyle w:val="ListParagraph"/>
        <w:numPr>
          <w:ilvl w:val="0"/>
          <w:numId w:val="2"/>
        </w:numPr>
        <w:spacing w:after="30" w:before="30"/>
      </w:pPr>
      <w:r>
        <w:rPr>
          <w:rFonts w:ascii="Arial" w:cs="Arial" w:eastAsia="Arial" w:hAnsi="Arial"/>
          <w:color w:val="111827"/>
          <w:sz w:val="19"/>
          <w:szCs w:val="19"/>
        </w:rPr>
        <w:t xml:space="preserve">Built a Chainalysis-style forensics platform with transaction graph visualization, risk scoring, and entity labeling — targeting financial institutions, FIU-IND, and law enforcement. Demonstrates cross-domain threat investigation skills directly applicable to PayPal's payments security context.</w:t>
      </w:r>
    </w:p>
    <w:p>
      <w:pPr>
        <w:spacing w:after="20" w:before="80"/>
      </w:pPr>
      <w:r>
        <w:rPr>
          <w:rFonts w:ascii="Arial" w:cs="Arial" w:eastAsia="Arial" w:hAnsi="Arial"/>
          <w:b/>
          <w:bCs/>
          <w:color w:val="111827"/>
          <w:sz w:val="20"/>
          <w:szCs w:val="20"/>
        </w:rPr>
        <w:t xml:space="preserve">Ansible Server Automation &amp; Security Hardening</w:t>
      </w:r>
    </w:p>
    <w:p>
      <w:pPr>
        <w:pStyle w:val="ListParagraph"/>
        <w:numPr>
          <w:ilvl w:val="0"/>
          <w:numId w:val="2"/>
        </w:numPr>
        <w:spacing w:after="30" w:before="30"/>
      </w:pPr>
      <w:r>
        <w:rPr>
          <w:rFonts w:ascii="Arial" w:cs="Arial" w:eastAsia="Arial" w:hAnsi="Arial"/>
          <w:color w:val="111827"/>
          <w:sz w:val="19"/>
          <w:szCs w:val="19"/>
        </w:rPr>
        <w:t xml:space="preserve">Automated security hardening across dev/test/prod environments using Ansible Playbooks — reducing misconfiguration risk and aligning with ISO 27001 control objectives.</w:t>
      </w:r>
    </w:p>
    <w:p>
      <w:pPr>
        <w:spacing w:after="0" w:before="120"/>
      </w:pPr>
      <w:r>
        <w:t xml:space="preserve"/>
      </w:r>
    </w:p>
    <w:p>
      <w:pPr>
        <w:pBdr>
          <w:bottom w:val="single" w:color="1A56DB" w:sz="8" w:space="2"/>
        </w:pBdr>
        <w:spacing w:after="60" w:before="200"/>
      </w:pPr>
      <w:r>
        <w:rPr>
          <w:rFonts w:ascii="Arial" w:cs="Arial" w:eastAsia="Arial" w:hAnsi="Arial"/>
          <w:b/>
          <w:bCs/>
          <w:color w:val="1A56DB"/>
          <w:sz w:val="22"/>
          <w:szCs w:val="22"/>
        </w:rPr>
        <w:t xml:space="preserve">EDUCATION</w:t>
      </w:r>
    </w:p>
    <w:p>
      <w:pPr>
        <w:spacing w:after="0" w:before="6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7000"/>
        <w:gridCol w:w="2360"/>
      </w:tblGrid>
      <w:tr>
        <w:tc>
          <w:tcPr>
            <w:tcW w:type="dxa" w:w="7000"/>
            <w:tcBorders>
              <w:top w:val="nil" w:color="FFFFFF" w:sz="0"/>
              <w:left w:val="nil" w:color="FFFFFF" w:sz="0"/>
              <w:bottom w:val="nil" w:color="FFFFFF" w:sz="0"/>
              <w:right w:val="nil" w:color="FFFFFF" w:sz="0"/>
            </w:tcBorders>
          </w:tcPr>
          <w:p>
            <w:r>
              <w:rPr>
                <w:rFonts w:ascii="Arial" w:cs="Arial" w:eastAsia="Arial" w:hAnsi="Arial"/>
                <w:b/>
                <w:bCs/>
                <w:sz w:val="19"/>
                <w:szCs w:val="19"/>
              </w:rPr>
              <w:t xml:space="preserve">B.Tech in Cyber Security  —  Ganpat University, Ahmedabad</w:t>
            </w:r>
          </w:p>
        </w:tc>
        <w:tc>
          <w:tcPr>
            <w:tcW w:type="dxa" w:w="2360"/>
            <w:tcBorders>
              <w:top w:val="nil" w:color="FFFFFF" w:sz="0"/>
              <w:left w:val="nil" w:color="FFFFFF" w:sz="0"/>
              <w:bottom w:val="nil" w:color="FFFFFF" w:sz="0"/>
              <w:right w:val="nil" w:color="FFFFFF" w:sz="0"/>
            </w:tcBorders>
          </w:tcPr>
          <w:p>
            <w:pPr>
              <w:jc w:val="right"/>
            </w:pPr>
            <w:r>
              <w:rPr>
                <w:rFonts w:ascii="Arial" w:cs="Arial" w:eastAsia="Arial" w:hAnsi="Arial"/>
                <w:color w:val="374151"/>
                <w:sz w:val="19"/>
                <w:szCs w:val="19"/>
              </w:rPr>
              <w:t xml:space="preserve">2022 – Present</w:t>
            </w:r>
          </w:p>
        </w:tc>
      </w:tr>
      <w:tr>
        <w:tc>
          <w:tcPr>
            <w:tcW w:type="dxa" w:w="7000"/>
            <w:tcBorders>
              <w:top w:val="nil" w:color="FFFFFF" w:sz="0"/>
              <w:left w:val="nil" w:color="FFFFFF" w:sz="0"/>
              <w:bottom w:val="nil" w:color="FFFFFF" w:sz="0"/>
              <w:right w:val="nil" w:color="FFFFFF" w:sz="0"/>
            </w:tcBorders>
          </w:tcPr>
          <w:p>
            <w:pPr>
              <w:spacing w:before="40"/>
            </w:pPr>
            <w:r>
              <w:rPr>
                <w:rFonts w:ascii="Arial" w:cs="Arial" w:eastAsia="Arial" w:hAnsi="Arial"/>
                <w:color w:val="374151"/>
                <w:sz w:val="18"/>
                <w:szCs w:val="18"/>
              </w:rPr>
              <w:t xml:space="preserve">Higher Secondary (12th)  —  GIIS, Ahmedabad</w:t>
            </w:r>
          </w:p>
        </w:tc>
        <w:tc>
          <w:tcPr>
            <w:tcW w:type="dxa" w:w="2360"/>
            <w:tcBorders>
              <w:top w:val="nil" w:color="FFFFFF" w:sz="0"/>
              <w:left w:val="nil" w:color="FFFFFF" w:sz="0"/>
              <w:bottom w:val="nil" w:color="FFFFFF" w:sz="0"/>
              <w:right w:val="nil" w:color="FFFFFF" w:sz="0"/>
            </w:tcBorders>
          </w:tcPr>
          <w:p>
            <w:pPr>
              <w:spacing w:before="40"/>
              <w:jc w:val="right"/>
            </w:pPr>
            <w:r>
              <w:rPr>
                <w:rFonts w:ascii="Arial" w:cs="Arial" w:eastAsia="Arial" w:hAnsi="Arial"/>
                <w:color w:val="374151"/>
                <w:sz w:val="18"/>
                <w:szCs w:val="18"/>
              </w:rPr>
              <w:t xml:space="preserve">2018 – 2020</w:t>
            </w:r>
          </w:p>
        </w:tc>
      </w:tr>
      <w:tr>
        <w:tc>
          <w:tcPr>
            <w:tcW w:type="dxa" w:w="7000"/>
            <w:tcBorders>
              <w:top w:val="nil" w:color="FFFFFF" w:sz="0"/>
              <w:left w:val="nil" w:color="FFFFFF" w:sz="0"/>
              <w:bottom w:val="nil" w:color="FFFFFF" w:sz="0"/>
              <w:right w:val="nil" w:color="FFFFFF" w:sz="0"/>
            </w:tcBorders>
          </w:tcPr>
          <w:p>
            <w:pPr>
              <w:spacing w:before="40"/>
            </w:pPr>
            <w:r>
              <w:rPr>
                <w:rFonts w:ascii="Arial" w:cs="Arial" w:eastAsia="Arial" w:hAnsi="Arial"/>
                <w:color w:val="374151"/>
                <w:sz w:val="18"/>
                <w:szCs w:val="18"/>
              </w:rPr>
              <w:t xml:space="preserve">Secondary School (10th)  —  SGVP, Ahmedabad</w:t>
            </w:r>
          </w:p>
        </w:tc>
        <w:tc>
          <w:tcPr>
            <w:tcW w:type="dxa" w:w="2360"/>
            <w:tcBorders>
              <w:top w:val="nil" w:color="FFFFFF" w:sz="0"/>
              <w:left w:val="nil" w:color="FFFFFF" w:sz="0"/>
              <w:bottom w:val="nil" w:color="FFFFFF" w:sz="0"/>
              <w:right w:val="nil" w:color="FFFFFF" w:sz="0"/>
            </w:tcBorders>
          </w:tcPr>
          <w:p>
            <w:pPr>
              <w:spacing w:before="40"/>
              <w:jc w:val="right"/>
            </w:pPr>
            <w:r>
              <w:rPr>
                <w:rFonts w:ascii="Arial" w:cs="Arial" w:eastAsia="Arial" w:hAnsi="Arial"/>
                <w:color w:val="374151"/>
                <w:sz w:val="18"/>
                <w:szCs w:val="18"/>
              </w:rPr>
              <w:t xml:space="preserve">2017 – 2018</w:t>
            </w:r>
          </w:p>
        </w:tc>
      </w:tr>
    </w:tbl>
    <w:p>
      <w:pPr>
        <w:spacing w:after="0" w:before="120"/>
      </w:pPr>
      <w:r>
        <w:t xml:space="preserve"/>
      </w:r>
    </w:p>
    <w:p>
      <w:pPr>
        <w:pBdr>
          <w:bottom w:val="single" w:color="1A56DB" w:sz="8" w:space="2"/>
        </w:pBdr>
        <w:spacing w:after="60" w:before="200"/>
      </w:pPr>
      <w:r>
        <w:rPr>
          <w:rFonts w:ascii="Arial" w:cs="Arial" w:eastAsia="Arial" w:hAnsi="Arial"/>
          <w:b/>
          <w:bCs/>
          <w:color w:val="1A56DB"/>
          <w:sz w:val="22"/>
          <w:szCs w:val="22"/>
        </w:rPr>
        <w:t xml:space="preserve">CERTIFICATIONS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Windows Forensics with Belkasoft  —  Belkasoft (Feb 2026)</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BelkaGPT: AI in DFIR  —  Belkasoft (Nov 2025)</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IBM QRadar SIEM  —  Ganpat University / IBM (Nov 2025)</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Deloitte Cyber Job Simulation  —  Forage (Jun 2025)</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CCNA: Enterprise Networking, Security &amp; Automation  —  Cisco (May 2025)</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CCNA: Switching, Routing &amp; Wireless Essentials  —  Cisco (Nov 2024)</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CCNA: Introduction to Networks  —  Cisco (May 2023)</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Introduction to Cybersecurity  —  Cisco (May 2025)</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Python Essentials 1 &amp; 2  —  Cisco (Jun 2025)</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Web Security Labs  —  PortSwigger Academy</w:t>
            </w:r>
          </w:p>
        </w:tc>
      </w:tr>
    </w:tbl>
    <w:p>
      <w:pPr>
        <w:spacing w:after="0" w:before="120"/>
      </w:pPr>
      <w:r>
        <w:t xml:space="preserve"/>
      </w:r>
    </w:p>
    <w:p>
      <w:pPr>
        <w:pBdr>
          <w:bottom w:val="single" w:color="1A56DB" w:sz="8" w:space="2"/>
        </w:pBdr>
        <w:spacing w:after="60" w:before="200"/>
      </w:pPr>
      <w:r>
        <w:rPr>
          <w:rFonts w:ascii="Arial" w:cs="Arial" w:eastAsia="Arial" w:hAnsi="Arial"/>
          <w:b/>
          <w:bCs/>
          <w:color w:val="1A56DB"/>
          <w:sz w:val="22"/>
          <w:szCs w:val="22"/>
        </w:rPr>
        <w:t xml:space="preserve">LANGUAGES</w:t>
      </w:r>
    </w:p>
    <w:p>
      <w:pPr>
        <w:spacing w:after="0" w:before="80"/>
      </w:pPr>
      <w:r>
        <w:rPr>
          <w:rFonts w:ascii="Arial" w:cs="Arial" w:eastAsia="Arial" w:hAnsi="Arial"/>
          <w:color w:val="111827"/>
          <w:sz w:val="19"/>
          <w:szCs w:val="19"/>
        </w:rPr>
        <w:t xml:space="preserve">English (Fluent)  •  Hindi (Fluent)  •  Gujarati (Fluent)</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2026-04-15T03:45:47.181Z</dcterms:created>
  <dcterms:modified xsi:type="dcterms:W3CDTF">2026-04-15T03:45:47.200Z</dcterms:modified>
</cp:coreProperties>
</file>

<file path=docProps/custom.xml><?xml version="1.0" encoding="utf-8"?>
<Properties xmlns="http://schemas.openxmlformats.org/officeDocument/2006/custom-properties" xmlns:vt="http://schemas.openxmlformats.org/officeDocument/2006/docPropsVTypes"/>
</file>