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after="40"/>
        <w:jc w:val="center"/>
      </w:pPr>
      <w:r>
        <w:rPr>
          <w:rFonts w:ascii="Arial" w:cs="Arial" w:eastAsia="Arial" w:hAnsi="Arial"/>
          <w:b/>
          <w:bCs/>
          <w:color w:val="FFFFFF"/>
          <w:sz w:val="44"/>
          <w:szCs w:val="44"/>
        </w:rPr>
        <w:t xml:space="preserve">DEVANSH KOYANI</w:t>
      </w:r>
    </w:p>
    <w:p>
      <w:pPr>
        <w:shd w:fill="1B2A4A" w:val="clear"/>
        <w:spacing w:after="40"/>
        <w:jc w:val="center"/>
      </w:pPr>
      <w:r>
        <w:rPr>
          <w:rFonts w:ascii="Arial" w:cs="Arial" w:eastAsia="Arial" w:hAnsi="Arial"/>
          <w:color w:val="BFD4F5"/>
          <w:spacing w:val="20"/>
          <w:sz w:val="20"/>
          <w:szCs w:val="20"/>
        </w:rPr>
        <w:t xml:space="preserve">Cybersecurity Analyst  |  DFIR  |  SOC  |  GRC</w:t>
      </w:r>
    </w:p>
    <w:p>
      <w:pPr>
        <w:shd w:fill="1B2A4A" w:val="clear"/>
        <w:spacing w:after="100"/>
        <w:jc w:val="center"/>
      </w:pPr>
      <w:r>
        <w:rPr>
          <w:rFonts w:ascii="Arial" w:cs="Arial" w:eastAsia="Arial" w:hAnsi="Arial"/>
          <w:color w:val="D1E0FA"/>
          <w:sz w:val="17"/>
          <w:szCs w:val="17"/>
        </w:rPr>
        <w:t xml:space="preserve">+91 8469037799  •  devanshkoyani1@gmail.com  •  Ahmedabad, India</w:t>
      </w:r>
    </w:p>
    <w:p>
      <w:pPr>
        <w:pBdr>
          <w:bottom w:val="single" w:color="2563EB" w:sz="6" w:space="2"/>
        </w:pBdr>
        <w:spacing w:before="160" w:after="50"/>
      </w:pPr>
      <w:r>
        <w:rPr>
          <w:rFonts w:ascii="Arial" w:cs="Arial" w:eastAsia="Arial" w:hAnsi="Arial"/>
          <w:b/>
          <w:bCs/>
          <w:color w:val="1B2A4A"/>
          <w:spacing w:val="40"/>
          <w:sz w:val="20"/>
          <w:szCs w:val="20"/>
        </w:rPr>
        <w:t xml:space="preserve">PROFESSIONAL PROFILE</w:t>
      </w:r>
    </w:p>
    <w:p>
      <w:pPr>
        <w:spacing w:after="80"/>
      </w:pPr>
      <w:r>
        <w:rPr>
          <w:rFonts w:ascii="Arial" w:cs="Arial" w:eastAsia="Arial" w:hAnsi="Arial"/>
          <w:color w:val="111827"/>
          <w:sz w:val="18"/>
          <w:szCs w:val="18"/>
        </w:rPr>
        <w:t xml:space="preserve">B.Tech Cybersecurity student (7th Semester) with active DFIR experience at Drona — handling real ransomware cases, criminal mobile forensics, and security audits. Skilled in SOC operations (Wazuh, IBM QRadar), digital forensics (Belkasoft, Magnet AXIOM, FTK), and GRC frameworks (ISO 27001, NIST). Seeking to apply hands-on security expertise in a governance, risk, and compliance role at a global organization.</w:t>
      </w:r>
    </w:p>
    <w:p>
      <w:pPr>
        <w:pBdr>
          <w:bottom w:val="single" w:color="2563EB" w:sz="6" w:space="2"/>
        </w:pBdr>
        <w:spacing w:before="160" w:after="50"/>
      </w:pPr>
      <w:r>
        <w:rPr>
          <w:rFonts w:ascii="Arial" w:cs="Arial" w:eastAsia="Arial" w:hAnsi="Arial"/>
          <w:b/>
          <w:bCs/>
          <w:color w:val="1B2A4A"/>
          <w:spacing w:val="40"/>
          <w:sz w:val="20"/>
          <w:szCs w:val="20"/>
        </w:rPr>
        <w:t xml:space="preserve">TECHNICAL SKILLS</w:t>
      </w:r>
    </w:p>
    <w:p>
      <w:pPr>
        <w:spacing w:after="30"/>
      </w:pPr>
    </w:p>
    <w:tbl>
      <w:tblPr>
        <w:tblW w:type="dxa" w:w="10520"/>
        <w:tblBorders>
          <w:top w:val="single" w:color="auto" w:sz="4"/>
          <w:left w:val="single" w:color="auto" w:sz="4"/>
          <w:bottom w:val="single" w:color="auto" w:sz="4"/>
          <w:right w:val="single" w:color="auto" w:sz="4"/>
          <w:insideH w:val="single" w:color="auto" w:sz="4"/>
          <w:insideV w:val="single" w:color="auto" w:sz="4"/>
        </w:tblBorders>
      </w:tblPr>
      <w:tblGrid>
        <w:gridCol w:w="1880"/>
        <w:gridCol w:w="8640"/>
      </w:tblGrid>
      <w:tr>
        <w:tc>
          <w:tcPr>
            <w:tcW w:type="dxa" w:w="1880"/>
            <w:tcBorders>
              <w:top w:val="none" w:color="FFFFFF" w:sz="0"/>
              <w:left w:val="none" w:color="FFFFFF" w:sz="0"/>
              <w:bottom w:val="none" w:color="FFFFFF" w:sz="0"/>
              <w:right w:val="none" w:color="FFFFFF" w:sz="0"/>
            </w:tcBorders>
            <w:shd w:fill="EEF3FB" w:val="clear"/>
            <w:tcMar>
              <w:top w:type="dxa" w:w="55"/>
              <w:left w:type="dxa" w:w="100"/>
              <w:bottom w:type="dxa" w:w="55"/>
              <w:right w:type="dxa" w:w="100"/>
            </w:tcMar>
          </w:tcPr>
          <w:p>
            <w:r>
              <w:rPr>
                <w:rFonts w:ascii="Arial" w:cs="Arial" w:eastAsia="Arial" w:hAnsi="Arial"/>
                <w:b/>
                <w:bCs/>
                <w:color w:val="1B2A4A"/>
                <w:sz w:val="17"/>
                <w:szCs w:val="17"/>
              </w:rPr>
              <w:t xml:space="preserve">SOC &amp; SIEM</w:t>
            </w:r>
          </w:p>
        </w:tc>
        <w:tc>
          <w:tcPr>
            <w:tcW w:type="dxa" w:w="8640"/>
            <w:tcBorders>
              <w:top w:val="none" w:color="FFFFFF" w:sz="0"/>
              <w:left w:val="none" w:color="FFFFFF" w:sz="0"/>
              <w:bottom w:val="none" w:color="FFFFFF" w:sz="0"/>
              <w:right w:val="none" w:color="FFFFFF" w:sz="0"/>
            </w:tcBorders>
            <w:tcMar>
              <w:top w:type="dxa" w:w="55"/>
              <w:left w:type="dxa" w:w="100"/>
              <w:bottom w:type="dxa" w:w="55"/>
              <w:right w:type="dxa" w:w="100"/>
            </w:tcMar>
          </w:tcPr>
          <w:p>
            <w:r>
              <w:rPr>
                <w:rFonts w:ascii="Arial" w:cs="Arial" w:eastAsia="Arial" w:hAnsi="Arial"/>
                <w:color w:val="111827"/>
                <w:sz w:val="17"/>
                <w:szCs w:val="17"/>
              </w:rPr>
              <w:t xml:space="preserve">Wazuh, IBM QRadar, IBM Guardium, SIEM Log Monitoring &amp; Alerting</w:t>
            </w:r>
          </w:p>
        </w:tc>
      </w:tr>
      <w:tr>
        <w:tc>
          <w:tcPr>
            <w:tcW w:type="dxa" w:w="1880"/>
            <w:tcBorders>
              <w:top w:val="none" w:color="FFFFFF" w:sz="0"/>
              <w:left w:val="none" w:color="FFFFFF" w:sz="0"/>
              <w:bottom w:val="none" w:color="FFFFFF" w:sz="0"/>
              <w:right w:val="none" w:color="FFFFFF" w:sz="0"/>
            </w:tcBorders>
            <w:shd w:fill="EEF3FB" w:val="clear"/>
            <w:tcMar>
              <w:top w:type="dxa" w:w="55"/>
              <w:left w:type="dxa" w:w="100"/>
              <w:bottom w:type="dxa" w:w="55"/>
              <w:right w:type="dxa" w:w="100"/>
            </w:tcMar>
          </w:tcPr>
          <w:p>
            <w:r>
              <w:rPr>
                <w:rFonts w:ascii="Arial" w:cs="Arial" w:eastAsia="Arial" w:hAnsi="Arial"/>
                <w:b/>
                <w:bCs/>
                <w:color w:val="1B2A4A"/>
                <w:sz w:val="17"/>
                <w:szCs w:val="17"/>
              </w:rPr>
              <w:t xml:space="preserve">DFIR</w:t>
            </w:r>
          </w:p>
        </w:tc>
        <w:tc>
          <w:tcPr>
            <w:tcW w:type="dxa" w:w="8640"/>
            <w:tcBorders>
              <w:top w:val="none" w:color="FFFFFF" w:sz="0"/>
              <w:left w:val="none" w:color="FFFFFF" w:sz="0"/>
              <w:bottom w:val="none" w:color="FFFFFF" w:sz="0"/>
              <w:right w:val="none" w:color="FFFFFF" w:sz="0"/>
            </w:tcBorders>
            <w:tcMar>
              <w:top w:type="dxa" w:w="55"/>
              <w:left w:type="dxa" w:w="100"/>
              <w:bottom w:type="dxa" w:w="55"/>
              <w:right w:type="dxa" w:w="100"/>
            </w:tcMar>
          </w:tcPr>
          <w:p>
            <w:r>
              <w:rPr>
                <w:rFonts w:ascii="Arial" w:cs="Arial" w:eastAsia="Arial" w:hAnsi="Arial"/>
                <w:color w:val="111827"/>
                <w:sz w:val="17"/>
                <w:szCs w:val="17"/>
              </w:rPr>
              <w:t xml:space="preserve">Belkasoft Evidence Center, Magnet AXIOM, FTK, Memory Analysis, Chain-of-Custody</w:t>
            </w:r>
          </w:p>
        </w:tc>
      </w:tr>
      <w:tr>
        <w:tc>
          <w:tcPr>
            <w:tcW w:type="dxa" w:w="1880"/>
            <w:tcBorders>
              <w:top w:val="none" w:color="FFFFFF" w:sz="0"/>
              <w:left w:val="none" w:color="FFFFFF" w:sz="0"/>
              <w:bottom w:val="none" w:color="FFFFFF" w:sz="0"/>
              <w:right w:val="none" w:color="FFFFFF" w:sz="0"/>
            </w:tcBorders>
            <w:shd w:fill="EEF3FB" w:val="clear"/>
            <w:tcMar>
              <w:top w:type="dxa" w:w="55"/>
              <w:left w:type="dxa" w:w="100"/>
              <w:bottom w:type="dxa" w:w="55"/>
              <w:right w:type="dxa" w:w="100"/>
            </w:tcMar>
          </w:tcPr>
          <w:p>
            <w:r>
              <w:rPr>
                <w:rFonts w:ascii="Arial" w:cs="Arial" w:eastAsia="Arial" w:hAnsi="Arial"/>
                <w:b/>
                <w:bCs/>
                <w:color w:val="1B2A4A"/>
                <w:sz w:val="17"/>
                <w:szCs w:val="17"/>
              </w:rPr>
              <w:t xml:space="preserve">GRC</w:t>
            </w:r>
          </w:p>
        </w:tc>
        <w:tc>
          <w:tcPr>
            <w:tcW w:type="dxa" w:w="8640"/>
            <w:tcBorders>
              <w:top w:val="none" w:color="FFFFFF" w:sz="0"/>
              <w:left w:val="none" w:color="FFFFFF" w:sz="0"/>
              <w:bottom w:val="none" w:color="FFFFFF" w:sz="0"/>
              <w:right w:val="none" w:color="FFFFFF" w:sz="0"/>
            </w:tcBorders>
            <w:tcMar>
              <w:top w:type="dxa" w:w="55"/>
              <w:left w:type="dxa" w:w="100"/>
              <w:bottom w:type="dxa" w:w="55"/>
              <w:right w:type="dxa" w:w="100"/>
            </w:tcMar>
          </w:tcPr>
          <w:p>
            <w:r>
              <w:rPr>
                <w:rFonts w:ascii="Arial" w:cs="Arial" w:eastAsia="Arial" w:hAnsi="Arial"/>
                <w:color w:val="111827"/>
                <w:sz w:val="17"/>
                <w:szCs w:val="17"/>
              </w:rPr>
              <w:t xml:space="preserve">ISO 27001, NIST, BCP/DR Documentation, Risk Assessment, BIA, Audit Reporting</w:t>
            </w:r>
          </w:p>
        </w:tc>
      </w:tr>
      <w:tr>
        <w:tc>
          <w:tcPr>
            <w:tcW w:type="dxa" w:w="1880"/>
            <w:tcBorders>
              <w:top w:val="none" w:color="FFFFFF" w:sz="0"/>
              <w:left w:val="none" w:color="FFFFFF" w:sz="0"/>
              <w:bottom w:val="none" w:color="FFFFFF" w:sz="0"/>
              <w:right w:val="none" w:color="FFFFFF" w:sz="0"/>
            </w:tcBorders>
            <w:shd w:fill="EEF3FB" w:val="clear"/>
            <w:tcMar>
              <w:top w:type="dxa" w:w="55"/>
              <w:left w:type="dxa" w:w="100"/>
              <w:bottom w:type="dxa" w:w="55"/>
              <w:right w:type="dxa" w:w="100"/>
            </w:tcMar>
          </w:tcPr>
          <w:p>
            <w:r>
              <w:rPr>
                <w:rFonts w:ascii="Arial" w:cs="Arial" w:eastAsia="Arial" w:hAnsi="Arial"/>
                <w:b/>
                <w:bCs/>
                <w:color w:val="1B2A4A"/>
                <w:sz w:val="17"/>
                <w:szCs w:val="17"/>
              </w:rPr>
              <w:t xml:space="preserve">Security Ops</w:t>
            </w:r>
          </w:p>
        </w:tc>
        <w:tc>
          <w:tcPr>
            <w:tcW w:type="dxa" w:w="8640"/>
            <w:tcBorders>
              <w:top w:val="none" w:color="FFFFFF" w:sz="0"/>
              <w:left w:val="none" w:color="FFFFFF" w:sz="0"/>
              <w:bottom w:val="none" w:color="FFFFFF" w:sz="0"/>
              <w:right w:val="none" w:color="FFFFFF" w:sz="0"/>
            </w:tcBorders>
            <w:tcMar>
              <w:top w:type="dxa" w:w="55"/>
              <w:left w:type="dxa" w:w="100"/>
              <w:bottom w:type="dxa" w:w="55"/>
              <w:right w:type="dxa" w:w="100"/>
            </w:tcMar>
          </w:tcPr>
          <w:p>
            <w:r>
              <w:rPr>
                <w:rFonts w:ascii="Arial" w:cs="Arial" w:eastAsia="Arial" w:hAnsi="Arial"/>
                <w:color w:val="111827"/>
                <w:sz w:val="17"/>
                <w:szCs w:val="17"/>
              </w:rPr>
              <w:t xml:space="preserve">Threat Analysis, Incident Response, Ethical Hacking, Vuln. Assessment, PortSwigger</w:t>
            </w:r>
          </w:p>
        </w:tc>
      </w:tr>
      <w:tr>
        <w:tc>
          <w:tcPr>
            <w:tcW w:type="dxa" w:w="1880"/>
            <w:tcBorders>
              <w:top w:val="none" w:color="FFFFFF" w:sz="0"/>
              <w:left w:val="none" w:color="FFFFFF" w:sz="0"/>
              <w:bottom w:val="none" w:color="FFFFFF" w:sz="0"/>
              <w:right w:val="none" w:color="FFFFFF" w:sz="0"/>
            </w:tcBorders>
            <w:shd w:fill="EEF3FB" w:val="clear"/>
            <w:tcMar>
              <w:top w:type="dxa" w:w="55"/>
              <w:left w:type="dxa" w:w="100"/>
              <w:bottom w:type="dxa" w:w="55"/>
              <w:right w:type="dxa" w:w="100"/>
            </w:tcMar>
          </w:tcPr>
          <w:p>
            <w:r>
              <w:rPr>
                <w:rFonts w:ascii="Arial" w:cs="Arial" w:eastAsia="Arial" w:hAnsi="Arial"/>
                <w:b/>
                <w:bCs/>
                <w:color w:val="1B2A4A"/>
                <w:sz w:val="17"/>
                <w:szCs w:val="17"/>
              </w:rPr>
              <w:t xml:space="preserve">Networking</w:t>
            </w:r>
          </w:p>
        </w:tc>
        <w:tc>
          <w:tcPr>
            <w:tcW w:type="dxa" w:w="8640"/>
            <w:tcBorders>
              <w:top w:val="none" w:color="FFFFFF" w:sz="0"/>
              <w:left w:val="none" w:color="FFFFFF" w:sz="0"/>
              <w:bottom w:val="none" w:color="FFFFFF" w:sz="0"/>
              <w:right w:val="none" w:color="FFFFFF" w:sz="0"/>
            </w:tcBorders>
            <w:tcMar>
              <w:top w:type="dxa" w:w="55"/>
              <w:left w:type="dxa" w:w="100"/>
              <w:bottom w:type="dxa" w:w="55"/>
              <w:right w:type="dxa" w:w="100"/>
            </w:tcMar>
          </w:tcPr>
          <w:p>
            <w:r>
              <w:rPr>
                <w:rFonts w:ascii="Arial" w:cs="Arial" w:eastAsia="Arial" w:hAnsi="Arial"/>
                <w:color w:val="111827"/>
                <w:sz w:val="17"/>
                <w:szCs w:val="17"/>
              </w:rPr>
              <w:t xml:space="preserve">Cisco CCNA (3 levels), 802.11 Wireless, Ansible IaC, Server Hardening</w:t>
            </w:r>
          </w:p>
        </w:tc>
      </w:tr>
      <w:tr>
        <w:tc>
          <w:tcPr>
            <w:tcW w:type="dxa" w:w="1880"/>
            <w:tcBorders>
              <w:top w:val="none" w:color="FFFFFF" w:sz="0"/>
              <w:left w:val="none" w:color="FFFFFF" w:sz="0"/>
              <w:bottom w:val="none" w:color="FFFFFF" w:sz="0"/>
              <w:right w:val="none" w:color="FFFFFF" w:sz="0"/>
            </w:tcBorders>
            <w:shd w:fill="EEF3FB" w:val="clear"/>
            <w:tcMar>
              <w:top w:type="dxa" w:w="55"/>
              <w:left w:type="dxa" w:w="100"/>
              <w:bottom w:type="dxa" w:w="55"/>
              <w:right w:type="dxa" w:w="100"/>
            </w:tcMar>
          </w:tcPr>
          <w:p>
            <w:r>
              <w:rPr>
                <w:rFonts w:ascii="Arial" w:cs="Arial" w:eastAsia="Arial" w:hAnsi="Arial"/>
                <w:b/>
                <w:bCs/>
                <w:color w:val="1B2A4A"/>
                <w:sz w:val="17"/>
                <w:szCs w:val="17"/>
              </w:rPr>
              <w:t xml:space="preserve">Programming</w:t>
            </w:r>
          </w:p>
        </w:tc>
        <w:tc>
          <w:tcPr>
            <w:tcW w:type="dxa" w:w="8640"/>
            <w:tcBorders>
              <w:top w:val="none" w:color="FFFFFF" w:sz="0"/>
              <w:left w:val="none" w:color="FFFFFF" w:sz="0"/>
              <w:bottom w:val="none" w:color="FFFFFF" w:sz="0"/>
              <w:right w:val="none" w:color="FFFFFF" w:sz="0"/>
            </w:tcBorders>
            <w:tcMar>
              <w:top w:type="dxa" w:w="55"/>
              <w:left w:type="dxa" w:w="100"/>
              <w:bottom w:type="dxa" w:w="55"/>
              <w:right w:type="dxa" w:w="100"/>
            </w:tcMar>
          </w:tcPr>
          <w:p>
            <w:r>
              <w:rPr>
                <w:rFonts w:ascii="Arial" w:cs="Arial" w:eastAsia="Arial" w:hAnsi="Arial"/>
                <w:color w:val="111827"/>
                <w:sz w:val="17"/>
                <w:szCs w:val="17"/>
              </w:rPr>
              <w:t xml:space="preserve">Python, C, C++, Java, SQL, Flask, HTML, Tailwind CSS, Node.js</w:t>
            </w:r>
          </w:p>
        </w:tc>
      </w:tr>
    </w:tbl>
    <w:p>
      <w:pPr>
        <w:pBdr>
          <w:bottom w:val="single" w:color="2563EB" w:sz="6" w:space="2"/>
        </w:pBdr>
        <w:spacing w:before="160" w:after="50"/>
      </w:pPr>
      <w:r>
        <w:rPr>
          <w:rFonts w:ascii="Arial" w:cs="Arial" w:eastAsia="Arial" w:hAnsi="Arial"/>
          <w:b/>
          <w:bCs/>
          <w:color w:val="1B2A4A"/>
          <w:spacing w:val="40"/>
          <w:sz w:val="20"/>
          <w:szCs w:val="20"/>
        </w:rPr>
        <w:t xml:space="preserve">WORK EXPERIENCE</w:t>
      </w:r>
    </w:p>
    <w:p>
      <w:pPr>
        <w:tabs>
          <w:tab w:val="right" w:pos="10440"/>
        </w:tabs>
        <w:spacing w:before="80" w:after="20"/>
      </w:pPr>
      <w:r>
        <w:rPr>
          <w:rFonts w:ascii="Arial" w:cs="Arial" w:eastAsia="Arial" w:hAnsi="Arial"/>
          <w:b/>
          <w:bCs/>
          <w:color w:val="1B2A4A"/>
          <w:sz w:val="20"/>
          <w:szCs w:val="20"/>
        </w:rPr>
        <w:t xml:space="preserve">DFIR Analyst (Intern)</w:t>
      </w:r>
      <w:r>
        <w:t xml:space="preserve">	</w:t>
      </w:r>
      <w:r>
        <w:rPr>
          <w:rFonts w:ascii="Arial" w:cs="Arial" w:eastAsia="Arial" w:hAnsi="Arial"/>
          <w:color w:val="6B7280"/>
          <w:sz w:val="18"/>
          <w:szCs w:val="18"/>
        </w:rPr>
        <w:t xml:space="preserve">Jan 2026 – Present</w:t>
      </w:r>
    </w:p>
    <w:p>
      <w:pPr>
        <w:spacing w:after="50"/>
      </w:pPr>
      <w:r>
        <w:rPr>
          <w:rFonts w:ascii="Arial" w:cs="Arial" w:eastAsia="Arial" w:hAnsi="Arial"/>
          <w:i/>
          <w:iCs/>
          <w:color w:val="6B7280"/>
          <w:sz w:val="17"/>
          <w:szCs w:val="17"/>
        </w:rPr>
        <w:t xml:space="preserve">Drona  |  India</w:t>
      </w:r>
    </w:p>
    <w:p>
      <w:pPr>
        <w:pStyle w:val="ListParagraph"/>
        <w:numPr>
          <w:ilvl w:val="0"/>
          <w:numId w:val="2"/>
        </w:numPr>
        <w:spacing w:after="30"/>
      </w:pPr>
      <w:r>
        <w:rPr>
          <w:rFonts w:ascii="Arial" w:cs="Arial" w:eastAsia="Arial" w:hAnsi="Arial"/>
          <w:color w:val="111827"/>
          <w:sz w:val="18"/>
          <w:szCs w:val="18"/>
        </w:rPr>
        <w:t xml:space="preserve">Conducted live DFIR casework — ransomware investigations, criminal mobile device forensics, and end-to-end incident response including evidence acquisition, data restoration, and post-incident reporting.</w:t>
      </w:r>
    </w:p>
    <w:p>
      <w:pPr>
        <w:pStyle w:val="ListParagraph"/>
        <w:numPr>
          <w:ilvl w:val="0"/>
          <w:numId w:val="2"/>
        </w:numPr>
        <w:spacing w:after="30"/>
      </w:pPr>
      <w:r>
        <w:rPr>
          <w:rFonts w:ascii="Arial" w:cs="Arial" w:eastAsia="Arial" w:hAnsi="Arial"/>
          <w:color w:val="111827"/>
          <w:sz w:val="18"/>
          <w:szCs w:val="18"/>
        </w:rPr>
        <w:t xml:space="preserve">Performed security &amp; compliance audits across client environments: control assessments, vulnerability identification, and structured audit reports aligned to GRC frameworks.</w:t>
      </w:r>
    </w:p>
    <w:p>
      <w:pPr>
        <w:pStyle w:val="ListParagraph"/>
        <w:numPr>
          <w:ilvl w:val="0"/>
          <w:numId w:val="2"/>
        </w:numPr>
        <w:spacing w:after="30"/>
      </w:pPr>
      <w:r>
        <w:rPr>
          <w:rFonts w:ascii="Arial" w:cs="Arial" w:eastAsia="Arial" w:hAnsi="Arial"/>
          <w:color w:val="111827"/>
          <w:sz w:val="18"/>
          <w:szCs w:val="18"/>
        </w:rPr>
        <w:t xml:space="preserve">Managed chain-of-custody documentation, timeline reconstruction, and multi-stakeholder coordination across concurrent cases.</w:t>
      </w:r>
    </w:p>
    <w:p>
      <w:pPr>
        <w:tabs>
          <w:tab w:val="right" w:pos="10440"/>
        </w:tabs>
        <w:spacing w:before="80" w:after="20"/>
      </w:pPr>
      <w:r>
        <w:rPr>
          <w:rFonts w:ascii="Arial" w:cs="Arial" w:eastAsia="Arial" w:hAnsi="Arial"/>
          <w:b/>
          <w:bCs/>
          <w:color w:val="1B2A4A"/>
          <w:sz w:val="20"/>
          <w:szCs w:val="20"/>
        </w:rPr>
        <w:t xml:space="preserve">React.js Developer Intern</w:t>
      </w:r>
      <w:r>
        <w:t xml:space="preserve">	</w:t>
      </w:r>
      <w:r>
        <w:rPr>
          <w:rFonts w:ascii="Arial" w:cs="Arial" w:eastAsia="Arial" w:hAnsi="Arial"/>
          <w:color w:val="6B7280"/>
          <w:sz w:val="18"/>
          <w:szCs w:val="18"/>
        </w:rPr>
        <w:t xml:space="preserve">Jun 2024 – Jul 2024</w:t>
      </w:r>
    </w:p>
    <w:p>
      <w:pPr>
        <w:spacing w:after="50"/>
      </w:pPr>
      <w:r>
        <w:rPr>
          <w:rFonts w:ascii="Arial" w:cs="Arial" w:eastAsia="Arial" w:hAnsi="Arial"/>
          <w:i/>
          <w:iCs/>
          <w:color w:val="6B7280"/>
          <w:sz w:val="17"/>
          <w:szCs w:val="17"/>
        </w:rPr>
        <w:t xml:space="preserve">Tark Technologies  |  Ahmedabad</w:t>
      </w:r>
    </w:p>
    <w:p>
      <w:pPr>
        <w:pStyle w:val="ListParagraph"/>
        <w:numPr>
          <w:ilvl w:val="0"/>
          <w:numId w:val="2"/>
        </w:numPr>
        <w:spacing w:after="30"/>
      </w:pPr>
      <w:r>
        <w:rPr>
          <w:rFonts w:ascii="Arial" w:cs="Arial" w:eastAsia="Arial" w:hAnsi="Arial"/>
          <w:color w:val="111827"/>
          <w:sz w:val="18"/>
          <w:szCs w:val="18"/>
        </w:rPr>
        <w:t xml:space="preserve">Applied secure coding practices and participated in structured code reviews following security-by-design and governance documentation standards.</w:t>
      </w:r>
    </w:p>
    <w:p>
      <w:pPr>
        <w:tabs>
          <w:tab w:val="right" w:pos="10440"/>
        </w:tabs>
        <w:spacing w:before="80" w:after="20"/>
      </w:pPr>
      <w:r>
        <w:rPr>
          <w:rFonts w:ascii="Arial" w:cs="Arial" w:eastAsia="Arial" w:hAnsi="Arial"/>
          <w:b/>
          <w:bCs/>
          <w:color w:val="1B2A4A"/>
          <w:sz w:val="20"/>
          <w:szCs w:val="20"/>
        </w:rPr>
        <w:t xml:space="preserve">Data Management &amp; IT Support Intern</w:t>
      </w:r>
      <w:r>
        <w:t xml:space="preserve">	</w:t>
      </w:r>
      <w:r>
        <w:rPr>
          <w:rFonts w:ascii="Arial" w:cs="Arial" w:eastAsia="Arial" w:hAnsi="Arial"/>
          <w:color w:val="6B7280"/>
          <w:sz w:val="18"/>
          <w:szCs w:val="18"/>
        </w:rPr>
        <w:t xml:space="preserve">2023</w:t>
      </w:r>
    </w:p>
    <w:p>
      <w:pPr>
        <w:spacing w:after="50"/>
      </w:pPr>
      <w:r>
        <w:rPr>
          <w:rFonts w:ascii="Arial" w:cs="Arial" w:eastAsia="Arial" w:hAnsi="Arial"/>
          <w:i/>
          <w:iCs/>
          <w:color w:val="6B7280"/>
          <w:sz w:val="17"/>
          <w:szCs w:val="17"/>
        </w:rPr>
        <w:t xml:space="preserve">Karma Foundation  |  Ahmedabad</w:t>
      </w:r>
    </w:p>
    <w:p>
      <w:pPr>
        <w:pStyle w:val="ListParagraph"/>
        <w:numPr>
          <w:ilvl w:val="0"/>
          <w:numId w:val="2"/>
        </w:numPr>
        <w:spacing w:after="30"/>
      </w:pPr>
      <w:r>
        <w:rPr>
          <w:rFonts w:ascii="Arial" w:cs="Arial" w:eastAsia="Arial" w:hAnsi="Arial"/>
          <w:color w:val="111827"/>
          <w:sz w:val="18"/>
          <w:szCs w:val="18"/>
        </w:rPr>
        <w:t xml:space="preserve">Maintained data confidentiality and integrity across internal IT systems; contributed to documentation workflows applicable to compliance and governance programs.</w:t>
      </w:r>
    </w:p>
    <w:p>
      <w:pPr>
        <w:pBdr>
          <w:bottom w:val="single" w:color="2563EB" w:sz="6" w:space="2"/>
        </w:pBdr>
        <w:spacing w:before="160" w:after="50"/>
      </w:pPr>
      <w:r>
        <w:rPr>
          <w:rFonts w:ascii="Arial" w:cs="Arial" w:eastAsia="Arial" w:hAnsi="Arial"/>
          <w:b/>
          <w:bCs/>
          <w:color w:val="1B2A4A"/>
          <w:spacing w:val="40"/>
          <w:sz w:val="20"/>
          <w:szCs w:val="20"/>
        </w:rPr>
        <w:t xml:space="preserve">KEY PROJECTS</w:t>
      </w:r>
    </w:p>
    <w:p>
      <w:pPr>
        <w:spacing w:before="80" w:after="30"/>
      </w:pPr>
      <w:r>
        <w:rPr>
          <w:rFonts w:ascii="Arial" w:cs="Arial" w:eastAsia="Arial" w:hAnsi="Arial"/>
          <w:b/>
          <w:bCs/>
          <w:color w:val="1B2A4A"/>
          <w:sz w:val="19"/>
          <w:szCs w:val="19"/>
        </w:rPr>
        <w:t xml:space="preserve">Chakra — Blockchain Analytics &amp; Crypto Forensics Platform  [Featured]</w:t>
      </w:r>
    </w:p>
    <w:p>
      <w:pPr>
        <w:pStyle w:val="ListParagraph"/>
        <w:numPr>
          <w:ilvl w:val="0"/>
          <w:numId w:val="2"/>
        </w:numPr>
        <w:spacing w:after="30"/>
      </w:pPr>
      <w:r>
        <w:rPr>
          <w:rFonts w:ascii="Arial" w:cs="Arial" w:eastAsia="Arial" w:hAnsi="Arial"/>
          <w:color w:val="111827"/>
          <w:sz w:val="18"/>
          <w:szCs w:val="18"/>
        </w:rPr>
        <w:t xml:space="preserve">Built a Chainalysis-style blockchain forensics platform with transaction graph visualization, wallet intelligence, risk scoring, and entity labeling — targeting law enforcement, FIU-IND, and financial institutions with PMLA/CERT-In compliance alignment.</w:t>
      </w:r>
    </w:p>
    <w:p>
      <w:pPr>
        <w:spacing w:before="80" w:after="30"/>
      </w:pPr>
      <w:r>
        <w:rPr>
          <w:rFonts w:ascii="Arial" w:cs="Arial" w:eastAsia="Arial" w:hAnsi="Arial"/>
          <w:b/>
          <w:bCs/>
          <w:color w:val="1B2A4A"/>
          <w:sz w:val="19"/>
          <w:szCs w:val="19"/>
        </w:rPr>
        <w:t xml:space="preserve">SIEM &amp; SOC Monitoring Lab  (Wazuh / IBM QRadar)</w:t>
      </w:r>
    </w:p>
    <w:p>
      <w:pPr>
        <w:pStyle w:val="ListParagraph"/>
        <w:numPr>
          <w:ilvl w:val="0"/>
          <w:numId w:val="2"/>
        </w:numPr>
        <w:spacing w:after="30"/>
      </w:pPr>
      <w:r>
        <w:rPr>
          <w:rFonts w:ascii="Arial" w:cs="Arial" w:eastAsia="Arial" w:hAnsi="Arial"/>
          <w:color w:val="111827"/>
          <w:sz w:val="18"/>
          <w:szCs w:val="18"/>
        </w:rPr>
        <w:t xml:space="preserve">Deployed Wazuh SIEM to simulate SOC operations — configured log collection, alert rules, and dashboards; practiced incident triage, IOC correlation, and governance-ready incident reporting.</w:t>
      </w:r>
    </w:p>
    <w:p>
      <w:pPr>
        <w:spacing w:before="80" w:after="30"/>
      </w:pPr>
      <w:r>
        <w:rPr>
          <w:rFonts w:ascii="Arial" w:cs="Arial" w:eastAsia="Arial" w:hAnsi="Arial"/>
          <w:b/>
          <w:bCs/>
          <w:color w:val="1B2A4A"/>
          <w:sz w:val="19"/>
          <w:szCs w:val="19"/>
        </w:rPr>
        <w:t xml:space="preserve">Digital Forensics Case Analysis  (Magnet AXIOM, FTK, Belkasoft)</w:t>
      </w:r>
    </w:p>
    <w:p>
      <w:pPr>
        <w:pStyle w:val="ListParagraph"/>
        <w:numPr>
          <w:ilvl w:val="0"/>
          <w:numId w:val="2"/>
        </w:numPr>
        <w:spacing w:after="30"/>
      </w:pPr>
      <w:r>
        <w:rPr>
          <w:rFonts w:ascii="Arial" w:cs="Arial" w:eastAsia="Arial" w:hAnsi="Arial"/>
          <w:color w:val="111827"/>
          <w:sz w:val="18"/>
          <w:szCs w:val="18"/>
        </w:rPr>
        <w:t xml:space="preserve">Conducted evidence acquisition and artifact analysis (file metadata, memory dumps, browser history); produced structured forensic reports with chain-of-custody documentation.</w:t>
      </w:r>
    </w:p>
    <w:p>
      <w:pPr>
        <w:spacing w:before="80" w:after="30"/>
      </w:pPr>
      <w:r>
        <w:rPr>
          <w:rFonts w:ascii="Arial" w:cs="Arial" w:eastAsia="Arial" w:hAnsi="Arial"/>
          <w:b/>
          <w:bCs/>
          <w:color w:val="1B2A4A"/>
          <w:sz w:val="19"/>
          <w:szCs w:val="19"/>
        </w:rPr>
        <w:t xml:space="preserve">Ansible Server Automation &amp; Security Hardening</w:t>
      </w:r>
    </w:p>
    <w:p>
      <w:pPr>
        <w:pStyle w:val="ListParagraph"/>
        <w:numPr>
          <w:ilvl w:val="0"/>
          <w:numId w:val="2"/>
        </w:numPr>
        <w:spacing w:after="30"/>
      </w:pPr>
      <w:r>
        <w:rPr>
          <w:rFonts w:ascii="Arial" w:cs="Arial" w:eastAsia="Arial" w:hAnsi="Arial"/>
          <w:color w:val="111827"/>
          <w:sz w:val="18"/>
          <w:szCs w:val="18"/>
        </w:rPr>
        <w:t xml:space="preserve">Automated server hardening across dev/test/prod using Ansible Playbooks — reducing misconfiguration risk and aligning configurations to ISO 27001 control objectives.</w:t>
      </w:r>
    </w:p>
    <w:p>
      <w:pPr>
        <w:pBdr>
          <w:bottom w:val="single" w:color="2563EB" w:sz="6" w:space="2"/>
        </w:pBdr>
        <w:spacing w:before="160" w:after="50"/>
      </w:pPr>
      <w:r>
        <w:rPr>
          <w:rFonts w:ascii="Arial" w:cs="Arial" w:eastAsia="Arial" w:hAnsi="Arial"/>
          <w:b/>
          <w:bCs/>
          <w:color w:val="1B2A4A"/>
          <w:spacing w:val="40"/>
          <w:sz w:val="20"/>
          <w:szCs w:val="20"/>
        </w:rPr>
        <w:t xml:space="preserve">EDUCATION</w:t>
      </w:r>
    </w:p>
    <w:p>
      <w:pPr>
        <w:spacing w:after="25"/>
      </w:pPr>
    </w:p>
    <w:tbl>
      <w:tblPr>
        <w:tblW w:type="dxa" w:w="10520"/>
        <w:tblBorders>
          <w:top w:val="single" w:color="auto" w:sz="4"/>
          <w:left w:val="single" w:color="auto" w:sz="4"/>
          <w:bottom w:val="single" w:color="auto" w:sz="4"/>
          <w:right w:val="single" w:color="auto" w:sz="4"/>
          <w:insideH w:val="single" w:color="auto" w:sz="4"/>
          <w:insideV w:val="single" w:color="auto" w:sz="4"/>
        </w:tblBorders>
      </w:tblPr>
      <w:tblGrid>
        <w:gridCol w:w="7300"/>
        <w:gridCol w:w="3220"/>
      </w:tblGrid>
      <w:tr>
        <w:tc>
          <w:tcPr>
            <w:tcW w:type="dxa" w:w="7300"/>
            <w:tcBorders>
              <w:top w:val="none" w:color="FFFFFF" w:sz="0"/>
              <w:left w:val="none" w:color="FFFFFF" w:sz="0"/>
              <w:bottom w:val="none" w:color="FFFFFF" w:sz="0"/>
              <w:right w:val="none" w:color="FFFFFF" w:sz="0"/>
            </w:tcBorders>
            <w:tcMar>
              <w:top w:type="dxa" w:w="45"/>
              <w:left w:type="dxa" w:w="0"/>
              <w:bottom w:type="dxa" w:w="45"/>
              <w:right w:type="dxa" w:w="80"/>
            </w:tcMar>
          </w:tcPr>
          <w:p>
            <w:r>
              <w:rPr>
                <w:rFonts w:ascii="Arial" w:cs="Arial" w:eastAsia="Arial" w:hAnsi="Arial"/>
                <w:color w:val="111827"/>
                <w:sz w:val="17"/>
                <w:szCs w:val="17"/>
              </w:rPr>
              <w:t xml:space="preserve">B.Tech in Cyber Security  —  Ganpat University, Ahmedabad</w:t>
            </w:r>
          </w:p>
        </w:tc>
        <w:tc>
          <w:tcPr>
            <w:tcW w:type="dxa" w:w="3220"/>
            <w:tcBorders>
              <w:top w:val="none" w:color="FFFFFF" w:sz="0"/>
              <w:left w:val="none" w:color="FFFFFF" w:sz="0"/>
              <w:bottom w:val="none" w:color="FFFFFF" w:sz="0"/>
              <w:right w:val="none" w:color="FFFFFF" w:sz="0"/>
            </w:tcBorders>
            <w:tcMar>
              <w:top w:type="dxa" w:w="45"/>
              <w:left w:type="dxa" w:w="80"/>
              <w:bottom w:type="dxa" w:w="45"/>
              <w:right w:type="dxa" w:w="0"/>
            </w:tcMar>
          </w:tcPr>
          <w:p>
            <w:pPr>
              <w:jc w:val="right"/>
            </w:pPr>
            <w:r>
              <w:rPr>
                <w:rFonts w:ascii="Arial" w:cs="Arial" w:eastAsia="Arial" w:hAnsi="Arial"/>
                <w:i/>
                <w:iCs/>
                <w:color w:val="6B7280"/>
                <w:sz w:val="17"/>
                <w:szCs w:val="17"/>
              </w:rPr>
              <w:t xml:space="preserve">2022 – Present</w:t>
            </w:r>
          </w:p>
        </w:tc>
      </w:tr>
      <w:tr>
        <w:tc>
          <w:tcPr>
            <w:tcW w:type="dxa" w:w="7300"/>
            <w:tcBorders>
              <w:top w:val="none" w:color="FFFFFF" w:sz="0"/>
              <w:left w:val="none" w:color="FFFFFF" w:sz="0"/>
              <w:bottom w:val="none" w:color="FFFFFF" w:sz="0"/>
              <w:right w:val="none" w:color="FFFFFF" w:sz="0"/>
            </w:tcBorders>
            <w:tcMar>
              <w:top w:type="dxa" w:w="45"/>
              <w:left w:type="dxa" w:w="0"/>
              <w:bottom w:type="dxa" w:w="45"/>
              <w:right w:type="dxa" w:w="80"/>
            </w:tcMar>
          </w:tcPr>
          <w:p>
            <w:r>
              <w:rPr>
                <w:rFonts w:ascii="Arial" w:cs="Arial" w:eastAsia="Arial" w:hAnsi="Arial"/>
                <w:color w:val="111827"/>
                <w:sz w:val="17"/>
                <w:szCs w:val="17"/>
              </w:rPr>
              <w:t xml:space="preserve">Higher Secondary (12th)  —  GIIS, Ahmedabad</w:t>
            </w:r>
          </w:p>
        </w:tc>
        <w:tc>
          <w:tcPr>
            <w:tcW w:type="dxa" w:w="3220"/>
            <w:tcBorders>
              <w:top w:val="none" w:color="FFFFFF" w:sz="0"/>
              <w:left w:val="none" w:color="FFFFFF" w:sz="0"/>
              <w:bottom w:val="none" w:color="FFFFFF" w:sz="0"/>
              <w:right w:val="none" w:color="FFFFFF" w:sz="0"/>
            </w:tcBorders>
            <w:tcMar>
              <w:top w:type="dxa" w:w="45"/>
              <w:left w:type="dxa" w:w="80"/>
              <w:bottom w:type="dxa" w:w="45"/>
              <w:right w:type="dxa" w:w="0"/>
            </w:tcMar>
          </w:tcPr>
          <w:p>
            <w:pPr>
              <w:jc w:val="right"/>
            </w:pPr>
            <w:r>
              <w:rPr>
                <w:rFonts w:ascii="Arial" w:cs="Arial" w:eastAsia="Arial" w:hAnsi="Arial"/>
                <w:i/>
                <w:iCs/>
                <w:color w:val="6B7280"/>
                <w:sz w:val="17"/>
                <w:szCs w:val="17"/>
              </w:rPr>
              <w:t xml:space="preserve">2018 – 2020</w:t>
            </w:r>
          </w:p>
        </w:tc>
      </w:tr>
      <w:tr>
        <w:tc>
          <w:tcPr>
            <w:tcW w:type="dxa" w:w="7300"/>
            <w:tcBorders>
              <w:top w:val="none" w:color="FFFFFF" w:sz="0"/>
              <w:left w:val="none" w:color="FFFFFF" w:sz="0"/>
              <w:bottom w:val="none" w:color="FFFFFF" w:sz="0"/>
              <w:right w:val="none" w:color="FFFFFF" w:sz="0"/>
            </w:tcBorders>
            <w:tcMar>
              <w:top w:type="dxa" w:w="45"/>
              <w:left w:type="dxa" w:w="0"/>
              <w:bottom w:type="dxa" w:w="45"/>
              <w:right w:type="dxa" w:w="80"/>
            </w:tcMar>
          </w:tcPr>
          <w:p>
            <w:r>
              <w:rPr>
                <w:rFonts w:ascii="Arial" w:cs="Arial" w:eastAsia="Arial" w:hAnsi="Arial"/>
                <w:color w:val="111827"/>
                <w:sz w:val="17"/>
                <w:szCs w:val="17"/>
              </w:rPr>
              <w:t xml:space="preserve">Secondary School (10th)  —  SGVP, Ahmedabad</w:t>
            </w:r>
          </w:p>
        </w:tc>
        <w:tc>
          <w:tcPr>
            <w:tcW w:type="dxa" w:w="3220"/>
            <w:tcBorders>
              <w:top w:val="none" w:color="FFFFFF" w:sz="0"/>
              <w:left w:val="none" w:color="FFFFFF" w:sz="0"/>
              <w:bottom w:val="none" w:color="FFFFFF" w:sz="0"/>
              <w:right w:val="none" w:color="FFFFFF" w:sz="0"/>
            </w:tcBorders>
            <w:tcMar>
              <w:top w:type="dxa" w:w="45"/>
              <w:left w:type="dxa" w:w="80"/>
              <w:bottom w:type="dxa" w:w="45"/>
              <w:right w:type="dxa" w:w="0"/>
            </w:tcMar>
          </w:tcPr>
          <w:p>
            <w:pPr>
              <w:jc w:val="right"/>
            </w:pPr>
            <w:r>
              <w:rPr>
                <w:rFonts w:ascii="Arial" w:cs="Arial" w:eastAsia="Arial" w:hAnsi="Arial"/>
                <w:i/>
                <w:iCs/>
                <w:color w:val="6B7280"/>
                <w:sz w:val="17"/>
                <w:szCs w:val="17"/>
              </w:rPr>
              <w:t xml:space="preserve">2017 – 2018</w:t>
            </w:r>
          </w:p>
        </w:tc>
      </w:tr>
    </w:tbl>
    <w:p>
      <w:pPr>
        <w:pBdr>
          <w:bottom w:val="single" w:color="2563EB" w:sz="6" w:space="2"/>
        </w:pBdr>
        <w:spacing w:before="160" w:after="50"/>
      </w:pPr>
      <w:r>
        <w:rPr>
          <w:rFonts w:ascii="Arial" w:cs="Arial" w:eastAsia="Arial" w:hAnsi="Arial"/>
          <w:b/>
          <w:bCs/>
          <w:color w:val="1B2A4A"/>
          <w:spacing w:val="40"/>
          <w:sz w:val="20"/>
          <w:szCs w:val="20"/>
        </w:rPr>
        <w:t xml:space="preserve">CERTIFICATIONS</w:t>
      </w:r>
    </w:p>
    <w:p>
      <w:pPr>
        <w:spacing w:after="25"/>
      </w:pPr>
    </w:p>
    <w:tbl>
      <w:tblPr>
        <w:tblW w:type="dxa" w:w="10520"/>
        <w:tblBorders>
          <w:top w:val="single" w:color="auto" w:sz="4"/>
          <w:left w:val="single" w:color="auto" w:sz="4"/>
          <w:bottom w:val="single" w:color="auto" w:sz="4"/>
          <w:right w:val="single" w:color="auto" w:sz="4"/>
          <w:insideH w:val="single" w:color="auto" w:sz="4"/>
          <w:insideV w:val="single" w:color="auto" w:sz="4"/>
        </w:tblBorders>
      </w:tblPr>
      <w:tblGrid>
        <w:gridCol w:w="5260"/>
        <w:gridCol w:w="5260"/>
      </w:tblGrid>
      <w:tr>
        <w:tc>
          <w:tcPr>
            <w:tcW w:type="dxa" w:w="5260"/>
            <w:tcBorders>
              <w:top w:val="none" w:color="FFFFFF" w:sz="0"/>
              <w:left w:val="none" w:color="FFFFFF" w:sz="0"/>
              <w:bottom w:val="none" w:color="FFFFFF" w:sz="0"/>
              <w:right w:val="none" w:color="FFFFFF" w:sz="0"/>
            </w:tcBorders>
            <w:tcMar>
              <w:top w:type="dxa" w:w="45"/>
              <w:left w:type="dxa" w:w="80"/>
              <w:bottom w:type="dxa" w:w="45"/>
              <w:right w:type="dxa" w:w="80"/>
            </w:tcMar>
          </w:tcPr>
          <w:p>
            <w:r>
              <w:rPr>
                <w:rFonts w:ascii="Arial" w:cs="Arial" w:eastAsia="Arial" w:hAnsi="Arial"/>
                <w:b/>
                <w:bCs/>
                <w:color w:val="111827"/>
                <w:sz w:val="17"/>
                <w:szCs w:val="17"/>
              </w:rPr>
              <w:t xml:space="preserve">Windows Forensics with Belkasoft</w:t>
            </w:r>
            <w:r>
              <w:rPr>
                <w:rFonts w:ascii="Arial" w:cs="Arial" w:eastAsia="Arial" w:hAnsi="Arial"/>
                <w:color w:val="6B7280"/>
                <w:sz w:val="16"/>
                <w:szCs w:val="16"/>
              </w:rPr>
              <w:t xml:space="preserve">  —  Belkasoft  (Feb 2026)</w:t>
            </w:r>
          </w:p>
        </w:tc>
        <w:tc>
          <w:tcPr>
            <w:tcW w:type="dxa" w:w="5260"/>
            <w:tcBorders>
              <w:top w:val="none" w:color="FFFFFF" w:sz="0"/>
              <w:left w:val="none" w:color="FFFFFF" w:sz="0"/>
              <w:bottom w:val="none" w:color="FFFFFF" w:sz="0"/>
              <w:right w:val="none" w:color="FFFFFF" w:sz="0"/>
            </w:tcBorders>
            <w:tcMar>
              <w:top w:type="dxa" w:w="45"/>
              <w:left w:type="dxa" w:w="80"/>
              <w:bottom w:type="dxa" w:w="45"/>
              <w:right w:type="dxa" w:w="80"/>
            </w:tcMar>
          </w:tcPr>
          <w:p>
            <w:r>
              <w:rPr>
                <w:rFonts w:ascii="Arial" w:cs="Arial" w:eastAsia="Arial" w:hAnsi="Arial"/>
                <w:b/>
                <w:bCs/>
                <w:color w:val="111827"/>
                <w:sz w:val="17"/>
                <w:szCs w:val="17"/>
              </w:rPr>
              <w:t xml:space="preserve">BelkaGPT: AI in DFIR</w:t>
            </w:r>
            <w:r>
              <w:rPr>
                <w:rFonts w:ascii="Arial" w:cs="Arial" w:eastAsia="Arial" w:hAnsi="Arial"/>
                <w:color w:val="6B7280"/>
                <w:sz w:val="16"/>
                <w:szCs w:val="16"/>
              </w:rPr>
              <w:t xml:space="preserve">  —  Belkasoft  (Nov 2025)</w:t>
            </w:r>
          </w:p>
        </w:tc>
      </w:tr>
      <w:tr>
        <w:tc>
          <w:tcPr>
            <w:tcW w:type="dxa" w:w="5260"/>
            <w:tcBorders>
              <w:top w:val="none" w:color="FFFFFF" w:sz="0"/>
              <w:left w:val="none" w:color="FFFFFF" w:sz="0"/>
              <w:bottom w:val="none" w:color="FFFFFF" w:sz="0"/>
              <w:right w:val="none" w:color="FFFFFF" w:sz="0"/>
            </w:tcBorders>
            <w:tcMar>
              <w:top w:type="dxa" w:w="45"/>
              <w:left w:type="dxa" w:w="80"/>
              <w:bottom w:type="dxa" w:w="45"/>
              <w:right w:type="dxa" w:w="80"/>
            </w:tcMar>
          </w:tcPr>
          <w:p>
            <w:r>
              <w:rPr>
                <w:rFonts w:ascii="Arial" w:cs="Arial" w:eastAsia="Arial" w:hAnsi="Arial"/>
                <w:b/>
                <w:bCs/>
                <w:color w:val="111827"/>
                <w:sz w:val="17"/>
                <w:szCs w:val="17"/>
              </w:rPr>
              <w:t xml:space="preserve">IBM QRadar SIEM</w:t>
            </w:r>
            <w:r>
              <w:rPr>
                <w:rFonts w:ascii="Arial" w:cs="Arial" w:eastAsia="Arial" w:hAnsi="Arial"/>
                <w:color w:val="6B7280"/>
                <w:sz w:val="16"/>
                <w:szCs w:val="16"/>
              </w:rPr>
              <w:t xml:space="preserve">  —  Ganpat University / IBM  (Nov 2025)</w:t>
            </w:r>
          </w:p>
        </w:tc>
        <w:tc>
          <w:tcPr>
            <w:tcW w:type="dxa" w:w="5260"/>
            <w:tcBorders>
              <w:top w:val="none" w:color="FFFFFF" w:sz="0"/>
              <w:left w:val="none" w:color="FFFFFF" w:sz="0"/>
              <w:bottom w:val="none" w:color="FFFFFF" w:sz="0"/>
              <w:right w:val="none" w:color="FFFFFF" w:sz="0"/>
            </w:tcBorders>
            <w:tcMar>
              <w:top w:type="dxa" w:w="45"/>
              <w:left w:type="dxa" w:w="80"/>
              <w:bottom w:type="dxa" w:w="45"/>
              <w:right w:type="dxa" w:w="80"/>
            </w:tcMar>
          </w:tcPr>
          <w:p>
            <w:r>
              <w:rPr>
                <w:rFonts w:ascii="Arial" w:cs="Arial" w:eastAsia="Arial" w:hAnsi="Arial"/>
                <w:b/>
                <w:bCs/>
                <w:color w:val="111827"/>
                <w:sz w:val="17"/>
                <w:szCs w:val="17"/>
              </w:rPr>
              <w:t xml:space="preserve">Deloitte Cyber Job Simulation</w:t>
            </w:r>
            <w:r>
              <w:rPr>
                <w:rFonts w:ascii="Arial" w:cs="Arial" w:eastAsia="Arial" w:hAnsi="Arial"/>
                <w:color w:val="6B7280"/>
                <w:sz w:val="16"/>
                <w:szCs w:val="16"/>
              </w:rPr>
              <w:t xml:space="preserve">  —  Forage  (Jun 2025)</w:t>
            </w:r>
          </w:p>
        </w:tc>
      </w:tr>
      <w:tr>
        <w:tc>
          <w:tcPr>
            <w:tcW w:type="dxa" w:w="5260"/>
            <w:tcBorders>
              <w:top w:val="none" w:color="FFFFFF" w:sz="0"/>
              <w:left w:val="none" w:color="FFFFFF" w:sz="0"/>
              <w:bottom w:val="none" w:color="FFFFFF" w:sz="0"/>
              <w:right w:val="none" w:color="FFFFFF" w:sz="0"/>
            </w:tcBorders>
            <w:tcMar>
              <w:top w:type="dxa" w:w="45"/>
              <w:left w:type="dxa" w:w="80"/>
              <w:bottom w:type="dxa" w:w="45"/>
              <w:right w:type="dxa" w:w="80"/>
            </w:tcMar>
          </w:tcPr>
          <w:p>
            <w:r>
              <w:rPr>
                <w:rFonts w:ascii="Arial" w:cs="Arial" w:eastAsia="Arial" w:hAnsi="Arial"/>
                <w:b/>
                <w:bCs/>
                <w:color w:val="111827"/>
                <w:sz w:val="17"/>
                <w:szCs w:val="17"/>
              </w:rPr>
              <w:t xml:space="preserve">CCNA: Enterprise Networking, Security &amp; Automation</w:t>
            </w:r>
            <w:r>
              <w:rPr>
                <w:rFonts w:ascii="Arial" w:cs="Arial" w:eastAsia="Arial" w:hAnsi="Arial"/>
                <w:color w:val="6B7280"/>
                <w:sz w:val="16"/>
                <w:szCs w:val="16"/>
              </w:rPr>
              <w:t xml:space="preserve">  —  Cisco  (May 2025)</w:t>
            </w:r>
          </w:p>
        </w:tc>
        <w:tc>
          <w:tcPr>
            <w:tcW w:type="dxa" w:w="5260"/>
            <w:tcBorders>
              <w:top w:val="none" w:color="FFFFFF" w:sz="0"/>
              <w:left w:val="none" w:color="FFFFFF" w:sz="0"/>
              <w:bottom w:val="none" w:color="FFFFFF" w:sz="0"/>
              <w:right w:val="none" w:color="FFFFFF" w:sz="0"/>
            </w:tcBorders>
            <w:tcMar>
              <w:top w:type="dxa" w:w="45"/>
              <w:left w:type="dxa" w:w="80"/>
              <w:bottom w:type="dxa" w:w="45"/>
              <w:right w:type="dxa" w:w="80"/>
            </w:tcMar>
          </w:tcPr>
          <w:p>
            <w:r>
              <w:rPr>
                <w:rFonts w:ascii="Arial" w:cs="Arial" w:eastAsia="Arial" w:hAnsi="Arial"/>
                <w:b/>
                <w:bCs/>
                <w:color w:val="111827"/>
                <w:sz w:val="17"/>
                <w:szCs w:val="17"/>
              </w:rPr>
              <w:t xml:space="preserve">CCNA: Switching, Routing &amp; Wireless Essentials</w:t>
            </w:r>
            <w:r>
              <w:rPr>
                <w:rFonts w:ascii="Arial" w:cs="Arial" w:eastAsia="Arial" w:hAnsi="Arial"/>
                <w:color w:val="6B7280"/>
                <w:sz w:val="16"/>
                <w:szCs w:val="16"/>
              </w:rPr>
              <w:t xml:space="preserve">  —  Cisco  (Nov 2024)</w:t>
            </w:r>
          </w:p>
        </w:tc>
      </w:tr>
      <w:tr>
        <w:tc>
          <w:tcPr>
            <w:tcW w:type="dxa" w:w="5260"/>
            <w:tcBorders>
              <w:top w:val="none" w:color="FFFFFF" w:sz="0"/>
              <w:left w:val="none" w:color="FFFFFF" w:sz="0"/>
              <w:bottom w:val="none" w:color="FFFFFF" w:sz="0"/>
              <w:right w:val="none" w:color="FFFFFF" w:sz="0"/>
            </w:tcBorders>
            <w:tcMar>
              <w:top w:type="dxa" w:w="45"/>
              <w:left w:type="dxa" w:w="80"/>
              <w:bottom w:type="dxa" w:w="45"/>
              <w:right w:type="dxa" w:w="80"/>
            </w:tcMar>
          </w:tcPr>
          <w:p>
            <w:r>
              <w:rPr>
                <w:rFonts w:ascii="Arial" w:cs="Arial" w:eastAsia="Arial" w:hAnsi="Arial"/>
                <w:b/>
                <w:bCs/>
                <w:color w:val="111827"/>
                <w:sz w:val="17"/>
                <w:szCs w:val="17"/>
              </w:rPr>
              <w:t xml:space="preserve">CCNA: Introduction to Networks</w:t>
            </w:r>
            <w:r>
              <w:rPr>
                <w:rFonts w:ascii="Arial" w:cs="Arial" w:eastAsia="Arial" w:hAnsi="Arial"/>
                <w:color w:val="6B7280"/>
                <w:sz w:val="16"/>
                <w:szCs w:val="16"/>
              </w:rPr>
              <w:t xml:space="preserve">  —  Cisco  (May 2023)</w:t>
            </w:r>
          </w:p>
        </w:tc>
        <w:tc>
          <w:tcPr>
            <w:tcW w:type="dxa" w:w="5260"/>
            <w:tcBorders>
              <w:top w:val="none" w:color="FFFFFF" w:sz="0"/>
              <w:left w:val="none" w:color="FFFFFF" w:sz="0"/>
              <w:bottom w:val="none" w:color="FFFFFF" w:sz="0"/>
              <w:right w:val="none" w:color="FFFFFF" w:sz="0"/>
            </w:tcBorders>
            <w:tcMar>
              <w:top w:type="dxa" w:w="45"/>
              <w:left w:type="dxa" w:w="80"/>
              <w:bottom w:type="dxa" w:w="45"/>
              <w:right w:type="dxa" w:w="80"/>
            </w:tcMar>
          </w:tcPr>
          <w:p>
            <w:r>
              <w:rPr>
                <w:rFonts w:ascii="Arial" w:cs="Arial" w:eastAsia="Arial" w:hAnsi="Arial"/>
                <w:b/>
                <w:bCs/>
                <w:color w:val="111827"/>
                <w:sz w:val="17"/>
                <w:szCs w:val="17"/>
              </w:rPr>
              <w:t xml:space="preserve">Introduction to Cybersecurity</w:t>
            </w:r>
            <w:r>
              <w:rPr>
                <w:rFonts w:ascii="Arial" w:cs="Arial" w:eastAsia="Arial" w:hAnsi="Arial"/>
                <w:color w:val="6B7280"/>
                <w:sz w:val="16"/>
                <w:szCs w:val="16"/>
              </w:rPr>
              <w:t xml:space="preserve">  —  Cisco  (May 2025)</w:t>
            </w:r>
          </w:p>
        </w:tc>
      </w:tr>
      <w:tr>
        <w:tc>
          <w:tcPr>
            <w:tcW w:type="dxa" w:w="5260"/>
            <w:tcBorders>
              <w:top w:val="none" w:color="FFFFFF" w:sz="0"/>
              <w:left w:val="none" w:color="FFFFFF" w:sz="0"/>
              <w:bottom w:val="none" w:color="FFFFFF" w:sz="0"/>
              <w:right w:val="none" w:color="FFFFFF" w:sz="0"/>
            </w:tcBorders>
            <w:tcMar>
              <w:top w:type="dxa" w:w="45"/>
              <w:left w:type="dxa" w:w="80"/>
              <w:bottom w:type="dxa" w:w="45"/>
              <w:right w:type="dxa" w:w="80"/>
            </w:tcMar>
          </w:tcPr>
          <w:p>
            <w:r>
              <w:rPr>
                <w:rFonts w:ascii="Arial" w:cs="Arial" w:eastAsia="Arial" w:hAnsi="Arial"/>
                <w:b/>
                <w:bCs/>
                <w:color w:val="111827"/>
                <w:sz w:val="17"/>
                <w:szCs w:val="17"/>
              </w:rPr>
              <w:t xml:space="preserve">Python Essentials 1 &amp; 2</w:t>
            </w:r>
            <w:r>
              <w:rPr>
                <w:rFonts w:ascii="Arial" w:cs="Arial" w:eastAsia="Arial" w:hAnsi="Arial"/>
                <w:color w:val="6B7280"/>
                <w:sz w:val="16"/>
                <w:szCs w:val="16"/>
              </w:rPr>
              <w:t xml:space="preserve">  —  Cisco  (Jun 2025)</w:t>
            </w:r>
          </w:p>
        </w:tc>
        <w:tc>
          <w:tcPr>
            <w:tcW w:type="dxa" w:w="5260"/>
            <w:tcBorders>
              <w:top w:val="none" w:color="FFFFFF" w:sz="0"/>
              <w:left w:val="none" w:color="FFFFFF" w:sz="0"/>
              <w:bottom w:val="none" w:color="FFFFFF" w:sz="0"/>
              <w:right w:val="none" w:color="FFFFFF" w:sz="0"/>
            </w:tcBorders>
            <w:tcMar>
              <w:top w:type="dxa" w:w="45"/>
              <w:left w:type="dxa" w:w="80"/>
              <w:bottom w:type="dxa" w:w="45"/>
              <w:right w:type="dxa" w:w="80"/>
            </w:tcMar>
          </w:tcPr>
          <w:p>
            <w:r>
              <w:rPr>
                <w:rFonts w:ascii="Arial" w:cs="Arial" w:eastAsia="Arial" w:hAnsi="Arial"/>
                <w:b/>
                <w:bCs/>
                <w:color w:val="111827"/>
                <w:sz w:val="17"/>
                <w:szCs w:val="17"/>
              </w:rPr>
              <w:t xml:space="preserve">Web Security Labs</w:t>
            </w:r>
            <w:r>
              <w:rPr>
                <w:rFonts w:ascii="Arial" w:cs="Arial" w:eastAsia="Arial" w:hAnsi="Arial"/>
                <w:color w:val="6B7280"/>
                <w:sz w:val="16"/>
                <w:szCs w:val="16"/>
              </w:rPr>
              <w:t xml:space="preserve">  —  PortSwigger Academy</w:t>
            </w:r>
          </w:p>
        </w:tc>
      </w:tr>
    </w:tbl>
    <w:p>
      <w:pPr>
        <w:pBdr>
          <w:bottom w:val="single" w:color="2563EB" w:sz="6" w:space="2"/>
        </w:pBdr>
        <w:spacing w:before="160" w:after="50"/>
      </w:pPr>
      <w:r>
        <w:rPr>
          <w:rFonts w:ascii="Arial" w:cs="Arial" w:eastAsia="Arial" w:hAnsi="Arial"/>
          <w:b/>
          <w:bCs/>
          <w:color w:val="1B2A4A"/>
          <w:spacing w:val="40"/>
          <w:sz w:val="20"/>
          <w:szCs w:val="20"/>
        </w:rPr>
        <w:t xml:space="preserve">LANGUAGES</w:t>
      </w:r>
    </w:p>
    <w:p>
      <w:pPr>
        <w:spacing w:before="40" w:after="40"/>
      </w:pPr>
      <w:r>
        <w:rPr>
          <w:rFonts w:ascii="Arial" w:cs="Arial" w:eastAsia="Arial" w:hAnsi="Arial"/>
          <w:color w:val="111827"/>
          <w:sz w:val="17"/>
          <w:szCs w:val="17"/>
        </w:rPr>
        <w:t xml:space="preserve">English (Fluent)  •  Hindi (Fluent)  •  Gujarati (Fluent)</w:t>
      </w:r>
    </w:p>
    <w:sectPr>
      <w:pgSz w:w="12240" w:h="15840" w:orient="portrait"/>
      <w:pgMar w:top="580" w:right="860" w:bottom="58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2026-03-26T04:17:49.899Z</dcterms:created>
  <dcterms:modified xsi:type="dcterms:W3CDTF">2026-03-26T04:17:49.900Z</dcterms:modified>
</cp:coreProperties>
</file>

<file path=docProps/custom.xml><?xml version="1.0" encoding="utf-8"?>
<Properties xmlns="http://schemas.openxmlformats.org/officeDocument/2006/custom-properties" xmlns:vt="http://schemas.openxmlformats.org/officeDocument/2006/docPropsVTypes"/>
</file>