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303030"/>
          <w:sz w:val="28"/>
          <w:szCs w:val="28"/>
          <w:highlight w:val="white"/>
        </w:rPr>
      </w:pPr>
      <w:r w:rsidDel="00000000" w:rsidR="00000000" w:rsidRPr="00000000">
        <w:rPr>
          <w:b w:val="1"/>
          <w:bCs w:val="1"/>
          <w:color w:val="303030"/>
          <w:sz w:val="28"/>
          <w:szCs w:val="28"/>
          <w:highlight w:val="white"/>
          <w:rtl w:val="0"/>
        </w:rPr>
        <w:t xml:space="preserve">Website Architecture: Sustainable Finance for Conservation</w:t>
      </w:r>
    </w:p>
    <w:p w:rsidR="00000000" w:rsidDel="00000000" w:rsidP="00000000" w:rsidRDefault="00000000" w:rsidRPr="00000000" w14:paraId="00000002">
      <w:pPr>
        <w:rPr>
          <w:b w:val="1"/>
          <w:bCs w:val="1"/>
          <w:color w:val="303030"/>
          <w:sz w:val="28"/>
          <w:szCs w:val="28"/>
          <w:highlight w:val="white"/>
        </w:rPr>
      </w:pPr>
      <w:r w:rsidDel="00000000" w:rsidR="00000000" w:rsidRPr="00000000">
        <w:rPr>
          <w:rtl w:val="0"/>
        </w:rPr>
      </w:r>
    </w:p>
    <w:p w:rsidR="00000000" w:rsidDel="00000000" w:rsidP="00000000" w:rsidRDefault="00000000" w:rsidRPr="00000000" w14:paraId="00000003">
      <w:pPr>
        <w:shd w:fill="ffffff" w:val="clear"/>
        <w:spacing w:after="180" w:lineRule="auto"/>
        <w:ind w:left="720" w:hanging="360"/>
        <w:rPr>
          <w:color w:val="303030"/>
          <w:sz w:val="21"/>
          <w:szCs w:val="21"/>
          <w:highlight w:val="white"/>
        </w:rPr>
      </w:pPr>
      <w:r w:rsidDel="00000000" w:rsidR="00000000" w:rsidRPr="00000000">
        <w:rPr>
          <w:b w:val="1"/>
          <w:bCs w:val="1"/>
          <w:color w:val="303030"/>
          <w:sz w:val="21"/>
          <w:szCs w:val="21"/>
          <w:highlight w:val="white"/>
          <w:rtl w:val="0"/>
        </w:rPr>
        <w:t xml:space="preserve">Overview</w:t>
      </w:r>
      <w:r w:rsidDel="00000000" w:rsidR="00000000" w:rsidRPr="00000000">
        <w:rPr>
          <w:color w:val="303030"/>
          <w:sz w:val="21"/>
          <w:szCs w:val="21"/>
          <w:highlight w:val="white"/>
          <w:rtl w:val="0"/>
        </w:rPr>
        <w:t xml:space="preserve"> This platform is an intuitive, user-friendly platform designed to make sustainable finance approachable for users without prior technical expertise. The site is available in English, Spanish, and French, and is continuously updated to remain relevant.</w:t>
      </w:r>
    </w:p>
    <w:p w:rsidR="00000000" w:rsidDel="00000000" w:rsidP="00000000" w:rsidRDefault="00000000" w:rsidRPr="00000000" w14:paraId="00000004">
      <w:pPr>
        <w:shd w:fill="ffffff" w:val="clear"/>
        <w:spacing w:after="180" w:lineRule="auto"/>
        <w:ind w:left="720" w:hanging="360"/>
        <w:rPr>
          <w:color w:val="303030"/>
          <w:sz w:val="21"/>
          <w:szCs w:val="21"/>
          <w:highlight w:val="white"/>
        </w:rPr>
      </w:pPr>
      <w:r w:rsidDel="00000000" w:rsidR="00000000" w:rsidRPr="00000000">
        <w:rPr>
          <w:b w:val="1"/>
          <w:bCs w:val="1"/>
          <w:color w:val="303030"/>
          <w:sz w:val="21"/>
          <w:szCs w:val="21"/>
          <w:highlight w:val="white"/>
          <w:rtl w:val="0"/>
        </w:rPr>
        <w:t xml:space="preserve">Site Structure</w:t>
      </w:r>
      <w:r w:rsidDel="00000000" w:rsidR="00000000" w:rsidRPr="00000000">
        <w:rPr>
          <w:color w:val="303030"/>
          <w:sz w:val="21"/>
          <w:szCs w:val="21"/>
          <w:highlight w:val="white"/>
          <w:rtl w:val="0"/>
        </w:rPr>
        <w:t xml:space="preserve"> The website's navigation revolves around a minimal homepage and three main functional sections designed for simple, clear navigation:</w:t>
      </w:r>
    </w:p>
    <w:p w:rsidR="00000000" w:rsidDel="00000000" w:rsidP="00000000" w:rsidRDefault="00000000" w:rsidRPr="00000000" w14:paraId="00000005">
      <w:pPr>
        <w:shd w:fill="ffffff" w:val="clear"/>
        <w:spacing w:after="180" w:lineRule="auto"/>
        <w:ind w:left="720" w:hanging="360"/>
        <w:rPr>
          <w:color w:val="303030"/>
          <w:sz w:val="21"/>
          <w:szCs w:val="21"/>
          <w:highlight w:val="white"/>
        </w:rPr>
      </w:pPr>
      <w:r w:rsidDel="00000000" w:rsidR="00000000" w:rsidRPr="00000000">
        <w:rPr>
          <w:b w:val="1"/>
          <w:bCs w:val="1"/>
          <w:color w:val="303030"/>
          <w:sz w:val="21"/>
          <w:szCs w:val="21"/>
          <w:highlight w:val="white"/>
          <w:rtl w:val="0"/>
        </w:rPr>
        <w:t xml:space="preserve">Home / Landing Page</w:t>
      </w:r>
      <w:r w:rsidDel="00000000" w:rsidR="00000000" w:rsidRPr="00000000">
        <w:rPr>
          <w:color w:val="303030"/>
          <w:sz w:val="21"/>
          <w:szCs w:val="21"/>
          <w:highlight w:val="white"/>
          <w:rtl w:val="0"/>
        </w:rPr>
        <w:t xml:space="preserve"> The homepage avoids information overload by keeping content concise and visual.</w:t>
      </w:r>
    </w:p>
    <w:p w:rsidR="00000000" w:rsidDel="00000000" w:rsidP="00000000" w:rsidRDefault="00000000" w:rsidRPr="00000000" w14:paraId="00000006">
      <w:pPr>
        <w:numPr>
          <w:ilvl w:val="0"/>
          <w:numId w:val="6"/>
        </w:numPr>
        <w:shd w:fill="ffffff" w:val="clear"/>
        <w:spacing w:after="0" w:lineRule="auto"/>
        <w:ind w:left="720" w:hanging="360"/>
        <w:rPr/>
      </w:pPr>
      <w:r w:rsidDel="00000000" w:rsidR="00000000" w:rsidRPr="00000000">
        <w:rPr>
          <w:b w:val="1"/>
          <w:bCs w:val="1"/>
          <w:color w:val="303030"/>
          <w:sz w:val="21"/>
          <w:szCs w:val="21"/>
          <w:rtl w:val="0"/>
        </w:rPr>
        <w:t xml:space="preserve">Hero Section:</w:t>
      </w:r>
      <w:r w:rsidDel="00000000" w:rsidR="00000000" w:rsidRPr="00000000">
        <w:rPr>
          <w:color w:val="303030"/>
          <w:sz w:val="21"/>
          <w:szCs w:val="21"/>
          <w:rtl w:val="0"/>
        </w:rPr>
        <w:t xml:space="preserve"> Features an inspiring message and a brief, two-to-three sentence introduction to Sustainable Finance.</w:t>
      </w:r>
      <w:r w:rsidDel="00000000" w:rsidR="00000000" w:rsidRPr="00000000">
        <w:rPr>
          <w:rtl w:val="0"/>
        </w:rPr>
      </w:r>
    </w:p>
    <w:p w:rsidR="00000000" w:rsidDel="00000000" w:rsidP="00000000" w:rsidRDefault="00000000" w:rsidRPr="00000000" w14:paraId="00000007">
      <w:pPr>
        <w:numPr>
          <w:ilvl w:val="0"/>
          <w:numId w:val="6"/>
        </w:numPr>
        <w:shd w:fill="ffffff" w:val="clear"/>
        <w:spacing w:after="180" w:lineRule="auto"/>
        <w:ind w:left="720" w:hanging="360"/>
        <w:rPr/>
      </w:pPr>
      <w:r w:rsidDel="00000000" w:rsidR="00000000" w:rsidRPr="00000000">
        <w:rPr>
          <w:b w:val="1"/>
          <w:bCs w:val="1"/>
          <w:color w:val="303030"/>
          <w:sz w:val="21"/>
          <w:szCs w:val="21"/>
          <w:rtl w:val="0"/>
        </w:rPr>
        <w:t xml:space="preserve">Quick Access:</w:t>
      </w:r>
      <w:r w:rsidDel="00000000" w:rsidR="00000000" w:rsidRPr="00000000">
        <w:rPr>
          <w:color w:val="303030"/>
          <w:sz w:val="21"/>
          <w:szCs w:val="21"/>
          <w:rtl w:val="0"/>
        </w:rPr>
        <w:t xml:space="preserve"> The page prominently displays </w:t>
      </w:r>
      <w:r w:rsidDel="00000000" w:rsidR="00000000" w:rsidRPr="00000000">
        <w:rPr>
          <w:b w:val="1"/>
          <w:bCs w:val="1"/>
          <w:color w:val="303030"/>
          <w:sz w:val="21"/>
          <w:szCs w:val="21"/>
          <w:rtl w:val="0"/>
        </w:rPr>
        <w:t xml:space="preserve">three large, clickable cards above the fold</w:t>
      </w:r>
      <w:r w:rsidDel="00000000" w:rsidR="00000000" w:rsidRPr="00000000">
        <w:rPr>
          <w:color w:val="303030"/>
          <w:sz w:val="21"/>
          <w:szCs w:val="21"/>
          <w:rtl w:val="0"/>
        </w:rPr>
        <w:t xml:space="preserve"> directing users to the primary sections: </w:t>
      </w:r>
      <w:r w:rsidDel="00000000" w:rsidR="00000000" w:rsidRPr="00000000">
        <w:rPr>
          <w:i w:val="1"/>
          <w:iCs w:val="1"/>
          <w:color w:val="303030"/>
          <w:sz w:val="21"/>
          <w:szCs w:val="21"/>
          <w:rtl w:val="0"/>
        </w:rPr>
        <w:t xml:space="preserve">Start Learning</w:t>
      </w:r>
      <w:r w:rsidDel="00000000" w:rsidR="00000000" w:rsidRPr="00000000">
        <w:rPr>
          <w:color w:val="303030"/>
          <w:sz w:val="21"/>
          <w:szCs w:val="21"/>
          <w:rtl w:val="0"/>
        </w:rPr>
        <w:t xml:space="preserve">, </w:t>
      </w:r>
      <w:r w:rsidDel="00000000" w:rsidR="00000000" w:rsidRPr="00000000">
        <w:rPr>
          <w:i w:val="1"/>
          <w:iCs w:val="1"/>
          <w:color w:val="303030"/>
          <w:sz w:val="21"/>
          <w:szCs w:val="21"/>
          <w:rtl w:val="0"/>
        </w:rPr>
        <w:t xml:space="preserve">Find Financing</w:t>
      </w:r>
      <w:r w:rsidDel="00000000" w:rsidR="00000000" w:rsidRPr="00000000">
        <w:rPr>
          <w:color w:val="303030"/>
          <w:sz w:val="21"/>
          <w:szCs w:val="21"/>
          <w:rtl w:val="0"/>
        </w:rPr>
        <w:t xml:space="preserve">, and </w:t>
      </w:r>
      <w:r w:rsidDel="00000000" w:rsidR="00000000" w:rsidRPr="00000000">
        <w:rPr>
          <w:i w:val="1"/>
          <w:iCs w:val="1"/>
          <w:color w:val="303030"/>
          <w:sz w:val="21"/>
          <w:szCs w:val="21"/>
          <w:rtl w:val="0"/>
        </w:rPr>
        <w:t xml:space="preserve">Toolkit</w:t>
      </w:r>
      <w:r w:rsidDel="00000000" w:rsidR="00000000" w:rsidRPr="00000000">
        <w:rPr>
          <w:color w:val="303030"/>
          <w:sz w:val="21"/>
          <w:szCs w:val="21"/>
          <w:rtl w:val="0"/>
        </w:rPr>
        <w:t xml:space="preserve">.</w:t>
      </w:r>
      <w:r w:rsidDel="00000000" w:rsidR="00000000" w:rsidRPr="00000000">
        <w:rPr>
          <w:rtl w:val="0"/>
        </w:rPr>
      </w:r>
    </w:p>
    <w:p w:rsidR="00000000" w:rsidDel="00000000" w:rsidP="00000000" w:rsidRDefault="00000000" w:rsidRPr="00000000" w14:paraId="00000008">
      <w:pPr>
        <w:shd w:fill="ffffff" w:val="clear"/>
        <w:spacing w:after="180" w:lineRule="auto"/>
        <w:ind w:left="720" w:hanging="360"/>
        <w:rPr>
          <w:b w:val="1"/>
          <w:bCs w:val="1"/>
          <w:color w:val="303030"/>
          <w:sz w:val="21"/>
          <w:szCs w:val="21"/>
          <w:highlight w:val="white"/>
        </w:rPr>
      </w:pPr>
      <w:r w:rsidDel="00000000" w:rsidR="00000000" w:rsidRPr="00000000">
        <w:rPr>
          <w:b w:val="1"/>
          <w:bCs w:val="1"/>
          <w:color w:val="303030"/>
          <w:sz w:val="21"/>
          <w:szCs w:val="21"/>
          <w:highlight w:val="white"/>
          <w:rtl w:val="0"/>
        </w:rPr>
        <w:t xml:space="preserve">1. Start Learning</w:t>
      </w:r>
    </w:p>
    <w:p w:rsidR="00000000" w:rsidDel="00000000" w:rsidP="00000000" w:rsidRDefault="00000000" w:rsidRPr="00000000" w14:paraId="00000009">
      <w:pPr>
        <w:shd w:fill="ffffff" w:val="clear"/>
        <w:spacing w:after="180" w:lineRule="auto"/>
        <w:ind w:left="720" w:hanging="360"/>
        <w:rPr>
          <w:color w:val="303030"/>
          <w:sz w:val="21"/>
          <w:szCs w:val="21"/>
          <w:highlight w:val="white"/>
        </w:rPr>
      </w:pPr>
      <w:r w:rsidDel="00000000" w:rsidR="00000000" w:rsidRPr="00000000">
        <w:rPr>
          <w:color w:val="303030"/>
          <w:sz w:val="21"/>
          <w:szCs w:val="21"/>
          <w:highlight w:val="white"/>
          <w:rtl w:val="0"/>
        </w:rPr>
        <w:t xml:space="preserve">This section serves as the educational entry point for users.</w:t>
      </w:r>
    </w:p>
    <w:p w:rsidR="00000000" w:rsidDel="00000000" w:rsidP="00000000" w:rsidRDefault="00000000" w:rsidRPr="00000000" w14:paraId="0000000A">
      <w:pPr>
        <w:numPr>
          <w:ilvl w:val="0"/>
          <w:numId w:val="3"/>
        </w:numPr>
        <w:shd w:fill="ffffff" w:val="clear"/>
        <w:spacing w:after="180" w:lineRule="auto"/>
        <w:ind w:left="720" w:hanging="360"/>
        <w:rPr/>
      </w:pPr>
      <w:r w:rsidDel="00000000" w:rsidR="00000000" w:rsidRPr="00000000">
        <w:rPr>
          <w:b w:val="1"/>
          <w:bCs w:val="1"/>
          <w:color w:val="303030"/>
          <w:sz w:val="21"/>
          <w:szCs w:val="21"/>
          <w:rtl w:val="0"/>
        </w:rPr>
        <w:t xml:space="preserve">Learning Modules:</w:t>
      </w:r>
      <w:r w:rsidDel="00000000" w:rsidR="00000000" w:rsidRPr="00000000">
        <w:rPr>
          <w:color w:val="303030"/>
          <w:sz w:val="21"/>
          <w:szCs w:val="21"/>
          <w:rtl w:val="0"/>
        </w:rPr>
        <w:t xml:space="preserve"> It links users directly to the comprehensive learning modules and Learning Units hosted on the project's external Learning Management System (LMS).</w:t>
      </w:r>
      <w:r w:rsidDel="00000000" w:rsidR="00000000" w:rsidRPr="00000000">
        <w:rPr>
          <w:rtl w:val="0"/>
        </w:rPr>
      </w:r>
    </w:p>
    <w:p w:rsidR="00000000" w:rsidDel="00000000" w:rsidP="00000000" w:rsidRDefault="00000000" w:rsidRPr="00000000" w14:paraId="0000000B">
      <w:pPr>
        <w:shd w:fill="ffffff" w:val="clear"/>
        <w:spacing w:after="180" w:lineRule="auto"/>
        <w:ind w:left="720" w:hanging="360"/>
        <w:rPr>
          <w:b w:val="1"/>
          <w:bCs w:val="1"/>
          <w:color w:val="303030"/>
          <w:sz w:val="21"/>
          <w:szCs w:val="21"/>
          <w:highlight w:val="white"/>
        </w:rPr>
      </w:pPr>
      <w:r w:rsidDel="00000000" w:rsidR="00000000" w:rsidRPr="00000000">
        <w:rPr>
          <w:b w:val="1"/>
          <w:bCs w:val="1"/>
          <w:color w:val="303030"/>
          <w:sz w:val="21"/>
          <w:szCs w:val="21"/>
          <w:highlight w:val="white"/>
          <w:rtl w:val="0"/>
        </w:rPr>
        <w:t xml:space="preserve">2. Financing Navigator</w:t>
      </w:r>
    </w:p>
    <w:p w:rsidR="00000000" w:rsidDel="00000000" w:rsidP="00000000" w:rsidRDefault="00000000" w:rsidRPr="00000000" w14:paraId="0000000C">
      <w:pPr>
        <w:shd w:fill="ffffff" w:val="clear"/>
        <w:spacing w:after="180" w:lineRule="auto"/>
        <w:ind w:left="720" w:hanging="360"/>
        <w:rPr>
          <w:color w:val="303030"/>
          <w:sz w:val="21"/>
          <w:szCs w:val="21"/>
          <w:highlight w:val="white"/>
        </w:rPr>
      </w:pPr>
      <w:r w:rsidDel="00000000" w:rsidR="00000000" w:rsidRPr="00000000">
        <w:rPr>
          <w:color w:val="303030"/>
          <w:sz w:val="21"/>
          <w:szCs w:val="21"/>
          <w:highlight w:val="white"/>
          <w:rtl w:val="0"/>
        </w:rPr>
        <w:t xml:space="preserve">This section is a simple filtering system that identifies relevant funding pathways using a Guided Q&amp;A instead of complicated search pages.</w:t>
      </w:r>
    </w:p>
    <w:p w:rsidR="00000000" w:rsidDel="00000000" w:rsidP="00000000" w:rsidRDefault="00000000" w:rsidRPr="00000000" w14:paraId="0000000D">
      <w:pPr>
        <w:numPr>
          <w:ilvl w:val="0"/>
          <w:numId w:val="5"/>
        </w:numPr>
        <w:shd w:fill="ffffff" w:val="clear"/>
        <w:spacing w:after="180" w:lineRule="auto"/>
        <w:ind w:left="720" w:hanging="360"/>
        <w:rPr/>
      </w:pPr>
      <w:r w:rsidDel="00000000" w:rsidR="00000000" w:rsidRPr="00000000">
        <w:rPr>
          <w:b w:val="1"/>
          <w:bCs w:val="1"/>
          <w:color w:val="303030"/>
          <w:sz w:val="21"/>
          <w:szCs w:val="21"/>
          <w:rtl w:val="0"/>
        </w:rPr>
        <w:t xml:space="preserve">Direct Resource Routing:</w:t>
      </w:r>
      <w:r w:rsidDel="00000000" w:rsidR="00000000" w:rsidRPr="00000000">
        <w:rPr>
          <w:color w:val="303030"/>
          <w:sz w:val="21"/>
          <w:szCs w:val="21"/>
          <w:rtl w:val="0"/>
        </w:rPr>
        <w:t xml:space="preserve"> Users answer up to four short questions regarding their role, landscape type, main challenge, and chosen conservation solution. </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200"/>
        <w:gridCol w:w="5760"/>
        <w:tblGridChange w:id="0">
          <w:tblGrid>
            <w:gridCol w:w="400"/>
            <w:gridCol w:w="32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6a4f" w:val="clear"/>
            <w:tcMar>
              <w:top w:w="100.0" w:type="dxa"/>
              <w:left w:w="120.0" w:type="dxa"/>
              <w:bottom w:w="100.0" w:type="dxa"/>
              <w:right w:w="120.0" w:type="dxa"/>
            </w:tcMar>
          </w:tcPr>
          <w:p w:rsidR="00000000" w:rsidDel="00000000" w:rsidP="00000000" w:rsidRDefault="00000000" w:rsidRPr="00000000" w14:paraId="0000000E">
            <w:pPr>
              <w:spacing w:line="240" w:lineRule="auto"/>
              <w:rPr>
                <w:color w:val="1b1b1b"/>
              </w:rPr>
            </w:pPr>
            <w:r w:rsidDel="00000000" w:rsidR="00000000" w:rsidRPr="00000000">
              <w:rPr>
                <w:b w:val="1"/>
                <w:bCs w:val="1"/>
                <w:color w:val="ffffff"/>
                <w:sz w:val="20"/>
                <w:szCs w:val="20"/>
                <w:rtl w:val="0"/>
              </w:rPr>
              <w:t xml:space="preserv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6a4f" w:val="clear"/>
            <w:tcMar>
              <w:top w:w="100.0" w:type="dxa"/>
              <w:left w:w="120.0" w:type="dxa"/>
              <w:bottom w:w="100.0" w:type="dxa"/>
              <w:right w:w="120.0" w:type="dxa"/>
            </w:tcMar>
          </w:tcPr>
          <w:p w:rsidR="00000000" w:rsidDel="00000000" w:rsidP="00000000" w:rsidRDefault="00000000" w:rsidRPr="00000000" w14:paraId="0000000F">
            <w:pPr>
              <w:spacing w:line="240" w:lineRule="auto"/>
              <w:rPr>
                <w:color w:val="1b1b1b"/>
              </w:rPr>
            </w:pPr>
            <w:r w:rsidDel="00000000" w:rsidR="00000000" w:rsidRPr="00000000">
              <w:rPr>
                <w:b w:val="1"/>
                <w:bCs w:val="1"/>
                <w:color w:val="ffffff"/>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6a4f" w:val="clear"/>
            <w:tcMar>
              <w:top w:w="100.0" w:type="dxa"/>
              <w:left w:w="120.0" w:type="dxa"/>
              <w:bottom w:w="100.0" w:type="dxa"/>
              <w:right w:w="120.0" w:type="dxa"/>
            </w:tcMar>
          </w:tcPr>
          <w:p w:rsidR="00000000" w:rsidDel="00000000" w:rsidP="00000000" w:rsidRDefault="00000000" w:rsidRPr="00000000" w14:paraId="00000010">
            <w:pPr>
              <w:spacing w:line="240" w:lineRule="auto"/>
              <w:rPr>
                <w:color w:val="1b1b1b"/>
              </w:rPr>
            </w:pPr>
            <w:r w:rsidDel="00000000" w:rsidR="00000000" w:rsidRPr="00000000">
              <w:rPr>
                <w:b w:val="1"/>
                <w:bCs w:val="1"/>
                <w:color w:val="ffffff"/>
                <w:sz w:val="20"/>
                <w:szCs w:val="20"/>
                <w:rtl w:val="0"/>
              </w:rPr>
              <w:t xml:space="preserve">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11">
            <w:pPr>
              <w:spacing w:line="240" w:lineRule="auto"/>
              <w:rPr>
                <w:color w:val="1b1b1b"/>
              </w:rPr>
            </w:pPr>
            <w:r w:rsidDel="00000000" w:rsidR="00000000" w:rsidRPr="00000000">
              <w:rPr>
                <w:b w:val="1"/>
                <w:bCs w:val="1"/>
                <w:color w:val="2d6a4f"/>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12">
            <w:pPr>
              <w:spacing w:line="240" w:lineRule="auto"/>
              <w:rPr>
                <w:color w:val="1b1b1b"/>
              </w:rPr>
            </w:pPr>
            <w:r w:rsidDel="00000000" w:rsidR="00000000" w:rsidRPr="00000000">
              <w:rPr>
                <w:color w:val="1b1b1b"/>
                <w:sz w:val="20"/>
                <w:szCs w:val="20"/>
                <w:rtl w:val="0"/>
              </w:rPr>
              <w:t xml:space="preserve">What is your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13">
            <w:pPr>
              <w:spacing w:line="240" w:lineRule="auto"/>
              <w:rPr>
                <w:color w:val="1b1b1b"/>
              </w:rPr>
            </w:pPr>
            <w:r w:rsidDel="00000000" w:rsidR="00000000" w:rsidRPr="00000000">
              <w:rPr>
                <w:i w:val="1"/>
                <w:iCs w:val="1"/>
                <w:color w:val="6b7280"/>
                <w:sz w:val="20"/>
                <w:szCs w:val="20"/>
                <w:rtl w:val="0"/>
              </w:rPr>
              <w:t xml:space="preserve">Conservation professional / Finance / Policy maker / Researcher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20.0" w:type="dxa"/>
              <w:bottom w:w="100.0" w:type="dxa"/>
              <w:right w:w="120.0" w:type="dxa"/>
            </w:tcMar>
          </w:tcPr>
          <w:p w:rsidR="00000000" w:rsidDel="00000000" w:rsidP="00000000" w:rsidRDefault="00000000" w:rsidRPr="00000000" w14:paraId="00000014">
            <w:pPr>
              <w:spacing w:line="240" w:lineRule="auto"/>
              <w:rPr>
                <w:color w:val="1b1b1b"/>
              </w:rPr>
            </w:pPr>
            <w:r w:rsidDel="00000000" w:rsidR="00000000" w:rsidRPr="00000000">
              <w:rPr>
                <w:b w:val="1"/>
                <w:bCs w:val="1"/>
                <w:color w:val="2d6a4f"/>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20.0" w:type="dxa"/>
              <w:bottom w:w="100.0" w:type="dxa"/>
              <w:right w:w="120.0" w:type="dxa"/>
            </w:tcMar>
          </w:tcPr>
          <w:p w:rsidR="00000000" w:rsidDel="00000000" w:rsidP="00000000" w:rsidRDefault="00000000" w:rsidRPr="00000000" w14:paraId="00000015">
            <w:pPr>
              <w:spacing w:line="240" w:lineRule="auto"/>
              <w:rPr>
                <w:color w:val="1b1b1b"/>
              </w:rPr>
            </w:pPr>
            <w:r w:rsidDel="00000000" w:rsidR="00000000" w:rsidRPr="00000000">
              <w:rPr>
                <w:color w:val="1b1b1b"/>
                <w:sz w:val="20"/>
                <w:szCs w:val="20"/>
                <w:rtl w:val="0"/>
              </w:rPr>
              <w:t xml:space="preserve">What type of landscape do you work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20.0" w:type="dxa"/>
              <w:bottom w:w="100.0" w:type="dxa"/>
              <w:right w:w="120.0" w:type="dxa"/>
            </w:tcMar>
          </w:tcPr>
          <w:p w:rsidR="00000000" w:rsidDel="00000000" w:rsidP="00000000" w:rsidRDefault="00000000" w:rsidRPr="00000000" w14:paraId="00000016">
            <w:pPr>
              <w:spacing w:line="240" w:lineRule="auto"/>
              <w:rPr>
                <w:color w:val="1b1b1b"/>
              </w:rPr>
            </w:pPr>
            <w:r w:rsidDel="00000000" w:rsidR="00000000" w:rsidRPr="00000000">
              <w:rPr>
                <w:i w:val="1"/>
                <w:iCs w:val="1"/>
                <w:color w:val="6b7280"/>
                <w:sz w:val="20"/>
                <w:szCs w:val="20"/>
                <w:rtl w:val="0"/>
              </w:rPr>
              <w:t xml:space="preserve">Terrestrial / Marine / Mixed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17">
            <w:pPr>
              <w:spacing w:line="240" w:lineRule="auto"/>
              <w:rPr>
                <w:color w:val="1b1b1b"/>
              </w:rPr>
            </w:pPr>
            <w:r w:rsidDel="00000000" w:rsidR="00000000" w:rsidRPr="00000000">
              <w:rPr>
                <w:b w:val="1"/>
                <w:bCs w:val="1"/>
                <w:color w:val="2d6a4f"/>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18">
            <w:pPr>
              <w:spacing w:line="240" w:lineRule="auto"/>
              <w:rPr>
                <w:color w:val="1b1b1b"/>
              </w:rPr>
            </w:pPr>
            <w:r w:rsidDel="00000000" w:rsidR="00000000" w:rsidRPr="00000000">
              <w:rPr>
                <w:color w:val="1b1b1b"/>
                <w:sz w:val="20"/>
                <w:szCs w:val="20"/>
                <w:rtl w:val="0"/>
              </w:rPr>
              <w:t xml:space="preserve">What is your main 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19">
            <w:pPr>
              <w:spacing w:line="240" w:lineRule="auto"/>
              <w:rPr>
                <w:color w:val="1b1b1b"/>
              </w:rPr>
            </w:pPr>
            <w:r w:rsidDel="00000000" w:rsidR="00000000" w:rsidRPr="00000000">
              <w:rPr>
                <w:i w:val="1"/>
                <w:iCs w:val="1"/>
                <w:color w:val="6b7280"/>
                <w:sz w:val="20"/>
                <w:szCs w:val="20"/>
                <w:rtl w:val="0"/>
              </w:rPr>
              <w:t xml:space="preserve">Financing gap / Harmful subsidies / Lack of private investment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00.0" w:type="dxa"/>
              <w:left w:w="120.0" w:type="dxa"/>
              <w:bottom w:w="100.0" w:type="dxa"/>
              <w:right w:w="120.0" w:type="dxa"/>
            </w:tcMar>
          </w:tcPr>
          <w:p w:rsidR="00000000" w:rsidDel="00000000" w:rsidP="00000000" w:rsidRDefault="00000000" w:rsidRPr="00000000" w14:paraId="0000001A">
            <w:pPr>
              <w:spacing w:line="240" w:lineRule="auto"/>
              <w:rPr>
                <w:color w:val="1b1b1b"/>
              </w:rPr>
            </w:pPr>
            <w:r w:rsidDel="00000000" w:rsidR="00000000" w:rsidRPr="00000000">
              <w:rPr>
                <w:b w:val="1"/>
                <w:bCs w:val="1"/>
                <w:color w:val="2d6a4f"/>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20.0" w:type="dxa"/>
              <w:bottom w:w="100.0" w:type="dxa"/>
              <w:right w:w="120.0" w:type="dxa"/>
            </w:tcMar>
          </w:tcPr>
          <w:p w:rsidR="00000000" w:rsidDel="00000000" w:rsidP="00000000" w:rsidRDefault="00000000" w:rsidRPr="00000000" w14:paraId="0000001B">
            <w:pPr>
              <w:spacing w:line="240" w:lineRule="auto"/>
              <w:rPr>
                <w:color w:val="1b1b1b"/>
              </w:rPr>
            </w:pPr>
            <w:r w:rsidDel="00000000" w:rsidR="00000000" w:rsidRPr="00000000">
              <w:rPr>
                <w:color w:val="1b1b1b"/>
                <w:sz w:val="20"/>
                <w:szCs w:val="20"/>
                <w:rtl w:val="0"/>
              </w:rPr>
              <w:t xml:space="preserve">What conservation solution are you pursuing?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100.0" w:type="dxa"/>
              <w:left w:w="120.0" w:type="dxa"/>
              <w:bottom w:w="100.0" w:type="dxa"/>
              <w:right w:w="120.0" w:type="dxa"/>
            </w:tcMar>
          </w:tcPr>
          <w:p w:rsidR="00000000" w:rsidDel="00000000" w:rsidP="00000000" w:rsidRDefault="00000000" w:rsidRPr="00000000" w14:paraId="0000001C">
            <w:pPr>
              <w:spacing w:line="240" w:lineRule="auto"/>
              <w:rPr>
                <w:color w:val="1b1b1b"/>
              </w:rPr>
            </w:pPr>
            <w:r w:rsidDel="00000000" w:rsidR="00000000" w:rsidRPr="00000000">
              <w:rPr>
                <w:i w:val="1"/>
                <w:iCs w:val="1"/>
                <w:color w:val="6b7280"/>
                <w:sz w:val="20"/>
                <w:szCs w:val="20"/>
                <w:rtl w:val="0"/>
              </w:rPr>
              <w:t xml:space="preserve">Restoration / Protected areas / Sustainable agriculture / Other</w:t>
            </w:r>
            <w:r w:rsidDel="00000000" w:rsidR="00000000" w:rsidRPr="00000000">
              <w:rPr>
                <w:rtl w:val="0"/>
              </w:rPr>
            </w:r>
          </w:p>
        </w:tc>
      </w:tr>
    </w:tbl>
    <w:p w:rsidR="00000000" w:rsidDel="00000000" w:rsidP="00000000" w:rsidRDefault="00000000" w:rsidRPr="00000000" w14:paraId="0000001D">
      <w:pPr>
        <w:spacing w:after="60" w:before="60" w:line="240" w:lineRule="auto"/>
        <w:rPr>
          <w:color w:val="303030"/>
          <w:sz w:val="21"/>
          <w:szCs w:val="21"/>
        </w:rPr>
      </w:pPr>
      <w:r w:rsidDel="00000000" w:rsidR="00000000" w:rsidRPr="00000000">
        <w:rPr>
          <w:rtl w:val="0"/>
        </w:rPr>
      </w:r>
    </w:p>
    <w:p w:rsidR="00000000" w:rsidDel="00000000" w:rsidP="00000000" w:rsidRDefault="00000000" w:rsidRPr="00000000" w14:paraId="0000001E">
      <w:pPr>
        <w:pStyle w:val="Heading3"/>
        <w:keepNext w:val="0"/>
        <w:keepLines w:val="0"/>
        <w:spacing w:before="200" w:line="240" w:lineRule="auto"/>
        <w:rPr>
          <w:b w:val="1"/>
          <w:bCs w:val="1"/>
          <w:color w:val="1b1b1b"/>
          <w:sz w:val="22"/>
          <w:szCs w:val="22"/>
        </w:rPr>
      </w:pPr>
      <w:r w:rsidDel="00000000" w:rsidR="00000000" w:rsidRPr="00000000">
        <w:rPr>
          <w:b w:val="1"/>
          <w:bCs w:val="1"/>
          <w:color w:val="1b1b1b"/>
          <w:sz w:val="22"/>
          <w:szCs w:val="22"/>
          <w:rtl w:val="0"/>
        </w:rPr>
        <w:t xml:space="preserve">Results Shown After Q&amp;A</w:t>
      </w:r>
    </w:p>
    <w:p w:rsidR="00000000" w:rsidDel="00000000" w:rsidP="00000000" w:rsidRDefault="00000000" w:rsidRPr="00000000" w14:paraId="0000001F">
      <w:pPr>
        <w:numPr>
          <w:ilvl w:val="0"/>
          <w:numId w:val="1"/>
        </w:numPr>
        <w:spacing w:after="60" w:before="60" w:line="240" w:lineRule="auto"/>
        <w:ind w:left="540" w:hanging="360"/>
        <w:rPr>
          <w:color w:val="2d6a4f"/>
        </w:rPr>
      </w:pPr>
      <w:r w:rsidDel="00000000" w:rsidR="00000000" w:rsidRPr="00000000">
        <w:rPr>
          <w:color w:val="1b1b1b"/>
          <w:rtl w:val="0"/>
        </w:rPr>
        <w:t xml:space="preserve">Recommended financing pathways (Resources that apply to the specific case)</w:t>
      </w:r>
      <w:r w:rsidDel="00000000" w:rsidR="00000000" w:rsidRPr="00000000">
        <w:rPr>
          <w:rtl w:val="0"/>
        </w:rPr>
      </w:r>
    </w:p>
    <w:p w:rsidR="00000000" w:rsidDel="00000000" w:rsidP="00000000" w:rsidRDefault="00000000" w:rsidRPr="00000000" w14:paraId="00000020">
      <w:pPr>
        <w:numPr>
          <w:ilvl w:val="0"/>
          <w:numId w:val="1"/>
        </w:numPr>
        <w:spacing w:after="60" w:before="60" w:line="240" w:lineRule="auto"/>
        <w:ind w:left="540" w:hanging="360"/>
        <w:rPr>
          <w:color w:val="2d6a4f"/>
        </w:rPr>
      </w:pPr>
      <w:r w:rsidDel="00000000" w:rsidR="00000000" w:rsidRPr="00000000">
        <w:rPr>
          <w:color w:val="1b1b1b"/>
          <w:rtl w:val="0"/>
        </w:rPr>
        <w:t xml:space="preserve">Linked case studies (similar examples from the real world)</w:t>
      </w:r>
      <w:r w:rsidDel="00000000" w:rsidR="00000000" w:rsidRPr="00000000">
        <w:rPr>
          <w:rtl w:val="0"/>
        </w:rPr>
      </w:r>
    </w:p>
    <w:p w:rsidR="00000000" w:rsidDel="00000000" w:rsidP="00000000" w:rsidRDefault="00000000" w:rsidRPr="00000000" w14:paraId="00000021">
      <w:pPr>
        <w:numPr>
          <w:ilvl w:val="0"/>
          <w:numId w:val="1"/>
        </w:numPr>
        <w:spacing w:after="60" w:before="60" w:line="240" w:lineRule="auto"/>
        <w:ind w:left="540" w:hanging="360"/>
        <w:rPr>
          <w:color w:val="2d6a4f"/>
        </w:rPr>
      </w:pPr>
      <w:r w:rsidDel="00000000" w:rsidR="00000000" w:rsidRPr="00000000">
        <w:rPr>
          <w:color w:val="1b1b1b"/>
          <w:rtl w:val="0"/>
        </w:rPr>
        <w:t xml:space="preserve">Relevant templates and tools</w:t>
      </w:r>
      <w:r w:rsidDel="00000000" w:rsidR="00000000" w:rsidRPr="00000000">
        <w:rPr>
          <w:rtl w:val="0"/>
        </w:rPr>
      </w:r>
    </w:p>
    <w:p w:rsidR="00000000" w:rsidDel="00000000" w:rsidP="00000000" w:rsidRDefault="00000000" w:rsidRPr="00000000" w14:paraId="00000022">
      <w:pPr>
        <w:numPr>
          <w:ilvl w:val="0"/>
          <w:numId w:val="1"/>
        </w:numPr>
        <w:spacing w:after="60" w:before="60" w:line="240" w:lineRule="auto"/>
        <w:ind w:left="540" w:hanging="360"/>
        <w:rPr>
          <w:color w:val="2d6a4f"/>
        </w:rPr>
      </w:pPr>
      <w:r w:rsidDel="00000000" w:rsidR="00000000" w:rsidRPr="00000000">
        <w:rPr>
          <w:color w:val="1b1b1b"/>
          <w:rtl w:val="0"/>
        </w:rPr>
        <w:t xml:space="preserve">Link to corresponding Learning Unit in the LMS</w:t>
      </w:r>
      <w:r w:rsidDel="00000000" w:rsidR="00000000" w:rsidRPr="00000000">
        <w:rPr>
          <w:rtl w:val="0"/>
        </w:rPr>
      </w:r>
    </w:p>
    <w:p w:rsidR="00000000" w:rsidDel="00000000" w:rsidP="00000000" w:rsidRDefault="00000000" w:rsidRPr="00000000" w14:paraId="00000023">
      <w:pPr>
        <w:spacing w:after="60" w:before="60" w:line="240" w:lineRule="auto"/>
        <w:rPr>
          <w:color w:val="303030"/>
          <w:sz w:val="21"/>
          <w:szCs w:val="21"/>
        </w:rPr>
      </w:pPr>
      <w:r w:rsidDel="00000000" w:rsidR="00000000" w:rsidRPr="00000000">
        <w:rPr>
          <w:rtl w:val="0"/>
        </w:rPr>
      </w:r>
    </w:p>
    <w:p w:rsidR="00000000" w:rsidDel="00000000" w:rsidP="00000000" w:rsidRDefault="00000000" w:rsidRPr="00000000" w14:paraId="00000024">
      <w:pPr>
        <w:spacing w:after="60" w:before="60" w:line="240" w:lineRule="auto"/>
        <w:rPr>
          <w:color w:val="303030"/>
          <w:sz w:val="21"/>
          <w:szCs w:val="21"/>
        </w:rPr>
      </w:pPr>
      <w:r w:rsidDel="00000000" w:rsidR="00000000" w:rsidRPr="00000000">
        <w:rPr>
          <w:rtl w:val="0"/>
        </w:rPr>
      </w:r>
    </w:p>
    <w:p w:rsidR="00000000" w:rsidDel="00000000" w:rsidP="00000000" w:rsidRDefault="00000000" w:rsidRPr="00000000" w14:paraId="00000025">
      <w:pPr>
        <w:shd w:fill="ffffff" w:val="clear"/>
        <w:spacing w:after="180" w:lineRule="auto"/>
        <w:ind w:left="0" w:firstLine="0"/>
        <w:rPr>
          <w:color w:val="303030"/>
          <w:sz w:val="21"/>
          <w:szCs w:val="21"/>
        </w:rPr>
      </w:pPr>
      <w:r w:rsidDel="00000000" w:rsidR="00000000" w:rsidRPr="00000000">
        <w:rPr>
          <w:rtl w:val="0"/>
        </w:rPr>
      </w:r>
    </w:p>
    <w:p w:rsidR="00000000" w:rsidDel="00000000" w:rsidP="00000000" w:rsidRDefault="00000000" w:rsidRPr="00000000" w14:paraId="00000026">
      <w:pPr>
        <w:shd w:fill="ffffff" w:val="clear"/>
        <w:spacing w:after="180" w:lineRule="auto"/>
        <w:ind w:left="720" w:hanging="360"/>
        <w:rPr>
          <w:b w:val="1"/>
          <w:bCs w:val="1"/>
          <w:color w:val="303030"/>
          <w:sz w:val="21"/>
          <w:szCs w:val="21"/>
          <w:highlight w:val="white"/>
        </w:rPr>
      </w:pPr>
      <w:r w:rsidDel="00000000" w:rsidR="00000000" w:rsidRPr="00000000">
        <w:rPr>
          <w:b w:val="1"/>
          <w:bCs w:val="1"/>
          <w:color w:val="303030"/>
          <w:sz w:val="21"/>
          <w:szCs w:val="21"/>
          <w:highlight w:val="white"/>
          <w:rtl w:val="0"/>
        </w:rPr>
        <w:t xml:space="preserve">3. Toolkit (Resources &amp; Library)</w:t>
      </w:r>
    </w:p>
    <w:p w:rsidR="00000000" w:rsidDel="00000000" w:rsidP="00000000" w:rsidRDefault="00000000" w:rsidRPr="00000000" w14:paraId="00000027">
      <w:pPr>
        <w:shd w:fill="ffffff" w:val="clear"/>
        <w:spacing w:after="180" w:lineRule="auto"/>
        <w:ind w:left="720" w:hanging="360"/>
        <w:rPr>
          <w:color w:val="303030"/>
          <w:sz w:val="21"/>
          <w:szCs w:val="21"/>
          <w:highlight w:val="white"/>
        </w:rPr>
      </w:pPr>
      <w:r w:rsidDel="00000000" w:rsidR="00000000" w:rsidRPr="00000000">
        <w:rPr>
          <w:color w:val="303030"/>
          <w:sz w:val="21"/>
          <w:szCs w:val="21"/>
          <w:highlight w:val="white"/>
          <w:rtl w:val="0"/>
        </w:rPr>
        <w:t xml:space="preserve">This section acts as a clean, easily searchable library that organizes materials by user needs.</w:t>
      </w:r>
    </w:p>
    <w:p w:rsidR="00000000" w:rsidDel="00000000" w:rsidP="00000000" w:rsidRDefault="00000000" w:rsidRPr="00000000" w14:paraId="00000028">
      <w:pPr>
        <w:numPr>
          <w:ilvl w:val="0"/>
          <w:numId w:val="2"/>
        </w:numPr>
        <w:shd w:fill="ffffff" w:val="clear"/>
        <w:spacing w:after="0" w:lineRule="auto"/>
        <w:ind w:left="720" w:hanging="360"/>
        <w:rPr/>
      </w:pPr>
      <w:r w:rsidDel="00000000" w:rsidR="00000000" w:rsidRPr="00000000">
        <w:rPr>
          <w:b w:val="1"/>
          <w:bCs w:val="1"/>
          <w:color w:val="303030"/>
          <w:sz w:val="21"/>
          <w:szCs w:val="21"/>
          <w:rtl w:val="0"/>
        </w:rPr>
        <w:t xml:space="preserve">Downloadable Documents:</w:t>
      </w:r>
      <w:r w:rsidDel="00000000" w:rsidR="00000000" w:rsidRPr="00000000">
        <w:rPr>
          <w:color w:val="303030"/>
          <w:sz w:val="21"/>
          <w:szCs w:val="21"/>
          <w:rtl w:val="0"/>
        </w:rPr>
        <w:t xml:space="preserve"> Users can access and download all practical tools, including the complete Playbook, the Landscape Finance Approach (LFA) framework, ready-to-use templates, self-assessment guiding questions, and a plain-language glossary.</w:t>
      </w:r>
      <w:r w:rsidDel="00000000" w:rsidR="00000000" w:rsidRPr="00000000">
        <w:rPr>
          <w:rtl w:val="0"/>
        </w:rPr>
      </w:r>
    </w:p>
    <w:p w:rsidR="00000000" w:rsidDel="00000000" w:rsidP="00000000" w:rsidRDefault="00000000" w:rsidRPr="00000000" w14:paraId="00000029">
      <w:pPr>
        <w:numPr>
          <w:ilvl w:val="0"/>
          <w:numId w:val="2"/>
        </w:numPr>
        <w:shd w:fill="ffffff" w:val="clear"/>
        <w:spacing w:after="180" w:lineRule="auto"/>
        <w:ind w:left="720" w:hanging="360"/>
        <w:rPr/>
      </w:pPr>
      <w:r w:rsidDel="00000000" w:rsidR="00000000" w:rsidRPr="00000000">
        <w:rPr>
          <w:b w:val="1"/>
          <w:bCs w:val="1"/>
          <w:color w:val="303030"/>
          <w:sz w:val="21"/>
          <w:szCs w:val="21"/>
          <w:rtl w:val="0"/>
        </w:rPr>
        <w:t xml:space="preserve">Interactive Map &amp; Case Studies:</w:t>
      </w:r>
      <w:r w:rsidDel="00000000" w:rsidR="00000000" w:rsidRPr="00000000">
        <w:rPr>
          <w:color w:val="303030"/>
          <w:sz w:val="21"/>
          <w:szCs w:val="21"/>
          <w:rtl w:val="0"/>
        </w:rPr>
        <w:t xml:space="preserve"> The toolkit includes an embedded world map that showcases real-world projects, such as those in Madagascar, the Cerrado, and KAZA. Users can explore these case studies to see the specific financial interventions, actors involved, and conservation solutions applied in different landscapes.</w:t>
      </w:r>
      <w:r w:rsidDel="00000000" w:rsidR="00000000" w:rsidRPr="00000000">
        <w:rPr>
          <w:rtl w:val="0"/>
        </w:rPr>
      </w:r>
    </w:p>
    <w:p w:rsidR="00000000" w:rsidDel="00000000" w:rsidP="00000000" w:rsidRDefault="00000000" w:rsidRPr="00000000" w14:paraId="0000002A">
      <w:pPr>
        <w:shd w:fill="ffffff" w:val="clear"/>
        <w:spacing w:after="180" w:lineRule="auto"/>
        <w:ind w:left="720" w:firstLine="0"/>
        <w:rPr>
          <w:color w:val="303030"/>
          <w:sz w:val="21"/>
          <w:szCs w:val="21"/>
        </w:rPr>
      </w:pPr>
      <w:r w:rsidDel="00000000" w:rsidR="00000000" w:rsidRPr="00000000">
        <w:rPr>
          <w:rtl w:val="0"/>
        </w:rPr>
      </w:r>
    </w:p>
    <w:p w:rsidR="00000000" w:rsidDel="00000000" w:rsidP="00000000" w:rsidRDefault="00000000" w:rsidRPr="00000000" w14:paraId="0000002B">
      <w:pPr>
        <w:shd w:fill="ffffff" w:val="clear"/>
        <w:spacing w:after="180" w:lineRule="auto"/>
        <w:ind w:left="720" w:hanging="360"/>
        <w:rPr>
          <w:b w:val="1"/>
          <w:bCs w:val="1"/>
          <w:color w:val="303030"/>
          <w:sz w:val="21"/>
          <w:szCs w:val="21"/>
          <w:highlight w:val="white"/>
        </w:rPr>
      </w:pPr>
      <w:r w:rsidDel="00000000" w:rsidR="00000000" w:rsidRPr="00000000">
        <w:rPr>
          <w:b w:val="1"/>
          <w:bCs w:val="1"/>
          <w:color w:val="303030"/>
          <w:sz w:val="21"/>
          <w:szCs w:val="21"/>
          <w:highlight w:val="white"/>
          <w:rtl w:val="0"/>
        </w:rPr>
        <w:t xml:space="preserve">Cross-Cutting Features</w:t>
      </w:r>
    </w:p>
    <w:p w:rsidR="00000000" w:rsidDel="00000000" w:rsidP="00000000" w:rsidRDefault="00000000" w:rsidRPr="00000000" w14:paraId="0000002C">
      <w:pPr>
        <w:numPr>
          <w:ilvl w:val="0"/>
          <w:numId w:val="4"/>
        </w:numPr>
        <w:shd w:fill="ffffff" w:val="clear"/>
        <w:spacing w:after="0" w:lineRule="auto"/>
        <w:ind w:left="720" w:hanging="360"/>
        <w:rPr/>
      </w:pPr>
      <w:r w:rsidDel="00000000" w:rsidR="00000000" w:rsidRPr="00000000">
        <w:rPr>
          <w:b w:val="1"/>
          <w:bCs w:val="1"/>
          <w:color w:val="303030"/>
          <w:sz w:val="21"/>
          <w:szCs w:val="21"/>
          <w:rtl w:val="0"/>
        </w:rPr>
        <w:t xml:space="preserve">Virtual Assistant:</w:t>
      </w:r>
      <w:r w:rsidDel="00000000" w:rsidR="00000000" w:rsidRPr="00000000">
        <w:rPr>
          <w:color w:val="303030"/>
          <w:sz w:val="21"/>
          <w:szCs w:val="21"/>
          <w:rtl w:val="0"/>
        </w:rPr>
        <w:t xml:space="preserve"> Instead of a dedicated page, an intelligent conversational assistant exists as a floating chat widget on every page, helping guide users who don't know where to start.</w:t>
      </w:r>
      <w:r w:rsidDel="00000000" w:rsidR="00000000" w:rsidRPr="00000000">
        <w:rPr>
          <w:rtl w:val="0"/>
        </w:rPr>
      </w:r>
    </w:p>
    <w:p w:rsidR="00000000" w:rsidDel="00000000" w:rsidP="00000000" w:rsidRDefault="00000000" w:rsidRPr="00000000" w14:paraId="0000002D">
      <w:pPr>
        <w:numPr>
          <w:ilvl w:val="0"/>
          <w:numId w:val="4"/>
        </w:numPr>
        <w:shd w:fill="ffffff" w:val="clear"/>
        <w:spacing w:after="180" w:lineRule="auto"/>
        <w:ind w:left="720" w:hanging="360"/>
        <w:rPr/>
      </w:pPr>
      <w:r w:rsidDel="00000000" w:rsidR="00000000" w:rsidRPr="00000000">
        <w:rPr>
          <w:b w:val="1"/>
          <w:bCs w:val="1"/>
          <w:color w:val="303030"/>
          <w:sz w:val="21"/>
          <w:szCs w:val="21"/>
          <w:rtl w:val="0"/>
        </w:rPr>
        <w:t xml:space="preserve">Accessibility &amp; Development:</w:t>
      </w:r>
      <w:r w:rsidDel="00000000" w:rsidR="00000000" w:rsidRPr="00000000">
        <w:rPr>
          <w:color w:val="303030"/>
          <w:sz w:val="21"/>
          <w:szCs w:val="21"/>
          <w:rtl w:val="0"/>
        </w:rPr>
        <w:t xml:space="preserve"> The platform is built to be mobile-responsive, screen-reader compatible (WCAG AA), and highly straightforward for developers to manage using a Content Management System (CMS)</w:t>
      </w:r>
      <w:r w:rsidDel="00000000" w:rsidR="00000000" w:rsidRPr="00000000">
        <w:rPr>
          <w:rtl w:val="0"/>
        </w:rPr>
      </w:r>
    </w:p>
    <w:p w:rsidR="00000000" w:rsidDel="00000000" w:rsidP="00000000" w:rsidRDefault="00000000" w:rsidRPr="00000000" w14:paraId="0000002E">
      <w:pPr>
        <w:shd w:fill="ffffff" w:val="clear"/>
        <w:spacing w:after="180" w:lineRule="auto"/>
        <w:ind w:left="720" w:firstLine="0"/>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u w:val="none"/>
      </w:rPr>
    </w:lvl>
    <w:lvl w:ilvl="1">
      <w:start w:val="1"/>
      <w:numFmt w:val="bullet"/>
      <w:lvlText w:val="–"/>
      <w:lvlJc w:val="left"/>
      <w:pPr>
        <w:ind w:left="90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YMtiS3tUjx8al3MOy0bJJuoIZw==">CgMxLjA4AHIhMUtzZmpidGotdGpJUm5QZTMwbVd4NTg1RG83TjNBaVc1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