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85F8EA" w14:textId="77777777" w:rsidR="000221DF" w:rsidRDefault="00000000">
      <w:pPr>
        <w:spacing w:before="7272" w:line="240" w:lineRule="auto"/>
        <w:ind w:left="1224" w:right="1224"/>
        <w:jc w:val="center"/>
      </w:pPr>
      <w:r>
        <w:rPr>
          <w:b/>
          <w:color w:val="000000"/>
          <w:sz w:val="72"/>
        </w:rPr>
        <w:t>S04 RESUMEN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0B274D39" wp14:editId="7DCA30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215" name="CoverImg8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" name="CoverImg82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B3533" w14:textId="77777777" w:rsidR="000221DF" w:rsidRDefault="00000000">
      <w:r>
        <w:br w:type="page"/>
      </w:r>
    </w:p>
    <w:p w14:paraId="7A24B9AB" w14:textId="77777777" w:rsidR="000221DF" w:rsidRDefault="00000000">
      <w:pPr>
        <w:keepNext/>
        <w:rPr>
          <w:rFonts w:cs="Calibri"/>
          <w:b/>
          <w:bCs/>
          <w:color w:val="000000"/>
        </w:rPr>
      </w:pPr>
      <w:r>
        <w:rPr>
          <w:b/>
          <w:bCs/>
          <w:color w:val="000000"/>
          <w:sz w:val="36"/>
        </w:rPr>
        <w:lastRenderedPageBreak/>
        <w:t>S04 RESUMEN</w:t>
      </w:r>
    </w:p>
    <w:p w14:paraId="6DF3D4A6" w14:textId="77777777" w:rsidR="000221DF" w:rsidRPr="00391757" w:rsidRDefault="00000000">
      <w:pPr>
        <w:spacing w:before="240" w:after="240"/>
        <w:rPr>
          <w:rFonts w:cs="Calibri"/>
        </w:rPr>
      </w:pPr>
      <w:r w:rsidRPr="00391757">
        <w:t>Medición del involucramiento de los individuos en las decisiones de compra con herramientas tecnológicas en mercados B2C</w:t>
      </w:r>
    </w:p>
    <w:p w14:paraId="3E31C423" w14:textId="77777777" w:rsidR="000221DF" w:rsidRDefault="000221DF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0" w:name="_1remeajx0iyw" w:colFirst="0" w:colLast="0"/>
      <w:bookmarkEnd w:id="0"/>
    </w:p>
    <w:p w14:paraId="163E58D8" w14:textId="77777777" w:rsidR="000221DF" w:rsidRDefault="00000000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1" w:name="_tdihgl9j2erg" w:colFirst="0" w:colLast="0"/>
      <w:bookmarkEnd w:id="1"/>
      <w:r>
        <w:rPr>
          <w:bCs/>
          <w:szCs w:val="22"/>
        </w:rPr>
        <w:t>1. Tema principal</w:t>
      </w:r>
    </w:p>
    <w:p w14:paraId="70E3200C" w14:textId="77777777" w:rsidR="000221DF" w:rsidRPr="00391757" w:rsidRDefault="00000000">
      <w:pPr>
        <w:spacing w:before="240" w:after="240"/>
        <w:rPr>
          <w:rFonts w:cs="Calibri"/>
        </w:rPr>
      </w:pPr>
      <w:r w:rsidRPr="00391757">
        <w:t>El estudio del involucramiento del consumidor en la decisión de compra y cómo puede medirse en tiempo real mediante el uso de aplicaciones móviles y herramientas tecnológicas.</w:t>
      </w:r>
    </w:p>
    <w:p w14:paraId="5451546F" w14:textId="77777777" w:rsidR="000221DF" w:rsidRDefault="00000000">
      <w:pPr>
        <w:pStyle w:val="Ttulo2"/>
        <w:keepLines w:val="0"/>
        <w:spacing w:before="0" w:after="0"/>
        <w:jc w:val="both"/>
        <w:rPr>
          <w:rFonts w:cs="Calibri"/>
          <w:sz w:val="22"/>
          <w:szCs w:val="22"/>
        </w:rPr>
      </w:pPr>
      <w:bookmarkStart w:id="2" w:name="_83zsh977pwh2" w:colFirst="0" w:colLast="0"/>
      <w:bookmarkEnd w:id="2"/>
      <w:r>
        <w:rPr>
          <w:bCs/>
          <w:szCs w:val="22"/>
        </w:rPr>
        <w:t>2. Ideas clave</w:t>
      </w:r>
    </w:p>
    <w:p w14:paraId="4F210BB4" w14:textId="77777777" w:rsidR="000221DF" w:rsidRDefault="00000000">
      <w:pPr>
        <w:numPr>
          <w:ilvl w:val="0"/>
          <w:numId w:val="1"/>
        </w:numPr>
        <w:spacing w:before="240"/>
        <w:rPr>
          <w:rFonts w:cs="Calibri"/>
        </w:rPr>
      </w:pPr>
      <w:r>
        <w:t>El involucramiento es el nivel de interés, motivación y relevancia que un consumidor le da a una compra.</w:t>
      </w:r>
    </w:p>
    <w:p w14:paraId="41CAC904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>Los estudios tradicionales lo miden después de la compra, lo que puede generar sesgos.</w:t>
      </w:r>
    </w:p>
    <w:p w14:paraId="1B8E6304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 xml:space="preserve">Este estudio propone medirlo durante la compra usando </w:t>
      </w:r>
      <w:proofErr w:type="gramStart"/>
      <w:r>
        <w:t>apps</w:t>
      </w:r>
      <w:proofErr w:type="gramEnd"/>
      <w:r>
        <w:t xml:space="preserve"> móviles.</w:t>
      </w:r>
    </w:p>
    <w:p w14:paraId="40794BA6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>Se utiliza la escala de Mittal (1989) para diferenciar:</w:t>
      </w:r>
    </w:p>
    <w:p w14:paraId="0857E5D1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Involucramiento con el producto</w:t>
      </w:r>
    </w:p>
    <w:p w14:paraId="2F18337B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Involucramiento con la decisión de compra</w:t>
      </w:r>
    </w:p>
    <w:p w14:paraId="4E7BC422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>Factores que influyen en el comportamiento:</w:t>
      </w:r>
    </w:p>
    <w:p w14:paraId="7D202D01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Culturales</w:t>
      </w:r>
    </w:p>
    <w:p w14:paraId="566B8BB4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Sociales</w:t>
      </w:r>
    </w:p>
    <w:p w14:paraId="76DB5A78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Personales</w:t>
      </w:r>
    </w:p>
    <w:p w14:paraId="582AA4E1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Psicológicos</w:t>
      </w:r>
    </w:p>
    <w:p w14:paraId="77042C2B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>El proceso de compra tiene varias fases:</w:t>
      </w:r>
    </w:p>
    <w:p w14:paraId="761F650E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Reconocimiento del problema</w:t>
      </w:r>
    </w:p>
    <w:p w14:paraId="2D74B89B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Búsqueda de información</w:t>
      </w:r>
    </w:p>
    <w:p w14:paraId="71DAE926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Evaluación de alternativas</w:t>
      </w:r>
    </w:p>
    <w:p w14:paraId="762F44A6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Decisión</w:t>
      </w:r>
    </w:p>
    <w:p w14:paraId="0E69793D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Comportamiento posterior</w:t>
      </w:r>
    </w:p>
    <w:p w14:paraId="7F5CC00B" w14:textId="77777777" w:rsidR="000221DF" w:rsidRDefault="00000000">
      <w:pPr>
        <w:numPr>
          <w:ilvl w:val="0"/>
          <w:numId w:val="1"/>
        </w:numPr>
        <w:rPr>
          <w:rFonts w:cs="Calibri"/>
        </w:rPr>
      </w:pPr>
      <w:r>
        <w:t>Las TIC (tecnologías) permiten:</w:t>
      </w:r>
    </w:p>
    <w:p w14:paraId="2440709E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Obtener datos más precisos</w:t>
      </w:r>
    </w:p>
    <w:p w14:paraId="572D125F" w14:textId="77777777" w:rsidR="000221DF" w:rsidRDefault="00000000">
      <w:pPr>
        <w:numPr>
          <w:ilvl w:val="1"/>
          <w:numId w:val="1"/>
        </w:numPr>
        <w:rPr>
          <w:rFonts w:cs="Calibri"/>
        </w:rPr>
      </w:pPr>
      <w:r>
        <w:t>Analizar comportamientos en tiempo real</w:t>
      </w:r>
    </w:p>
    <w:p w14:paraId="7726B075" w14:textId="77777777" w:rsidR="000221DF" w:rsidRDefault="00000000">
      <w:pPr>
        <w:numPr>
          <w:ilvl w:val="1"/>
          <w:numId w:val="1"/>
        </w:numPr>
        <w:spacing w:after="240"/>
        <w:rPr>
          <w:rFonts w:cs="Calibri"/>
        </w:rPr>
      </w:pPr>
      <w:r>
        <w:t>Reducir errores de medición</w:t>
      </w:r>
    </w:p>
    <w:p w14:paraId="224C7290" w14:textId="77777777" w:rsidR="000221DF" w:rsidRDefault="00000000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3" w:name="_obqwxcen9k2j" w:colFirst="0" w:colLast="0"/>
      <w:bookmarkEnd w:id="3"/>
      <w:r>
        <w:rPr>
          <w:bCs/>
          <w:szCs w:val="22"/>
        </w:rPr>
        <w:lastRenderedPageBreak/>
        <w:t>3. Desarrollo resumido</w:t>
      </w:r>
    </w:p>
    <w:p w14:paraId="69D3D41A" w14:textId="77777777" w:rsidR="000221DF" w:rsidRPr="00391757" w:rsidRDefault="00000000">
      <w:pPr>
        <w:spacing w:before="240" w:after="240"/>
        <w:rPr>
          <w:rFonts w:cs="Calibri"/>
        </w:rPr>
      </w:pPr>
      <w:r>
        <w:t xml:space="preserve">El documento parte de un problema importante: la mayoría de </w:t>
      </w:r>
      <w:proofErr w:type="gramStart"/>
      <w:r>
        <w:t>estudios</w:t>
      </w:r>
      <w:proofErr w:type="gramEnd"/>
      <w:r>
        <w:t xml:space="preserve"> sobre involucramiento del consumidor se realizan después de la compra, lo que puede alterar los resultados debido a la satisfacción o emociones posteriores. Por eso, se propone una alternativa innovadora: medir el </w:t>
      </w:r>
      <w:r w:rsidRPr="00391757">
        <w:t>involucramiento en el momento exacto de la compra, usando aplicaciones móviles.</w:t>
      </w:r>
    </w:p>
    <w:p w14:paraId="7E7CE8D2" w14:textId="77777777" w:rsidR="000221DF" w:rsidRPr="00391757" w:rsidRDefault="00000000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4" w:name="_4209vhub02e0" w:colFirst="0" w:colLast="0"/>
      <w:bookmarkEnd w:id="4"/>
      <w:r w:rsidRPr="00391757">
        <w:rPr>
          <w:bCs/>
          <w:color w:val="auto"/>
          <w:szCs w:val="22"/>
        </w:rPr>
        <w:t>Fundamento teórico</w:t>
      </w:r>
    </w:p>
    <w:p w14:paraId="18FCB867" w14:textId="77777777" w:rsidR="000221DF" w:rsidRPr="00391757" w:rsidRDefault="00000000">
      <w:pPr>
        <w:spacing w:before="240" w:after="240"/>
        <w:rPr>
          <w:rFonts w:cs="Calibri"/>
        </w:rPr>
      </w:pPr>
      <w:r w:rsidRPr="00391757">
        <w:t>El involucramiento se define como un estado de interés, motivación y excitación influenciado por factores internos (valores, ego) y externos (producto, situación, comunicación).</w:t>
      </w:r>
    </w:p>
    <w:p w14:paraId="323B017D" w14:textId="77777777" w:rsidR="000221DF" w:rsidRPr="00391757" w:rsidRDefault="00000000">
      <w:pPr>
        <w:spacing w:before="240" w:after="240"/>
        <w:rPr>
          <w:rFonts w:cs="Calibri"/>
        </w:rPr>
      </w:pPr>
      <w:r w:rsidRPr="00391757">
        <w:t>Se identifican diferentes enfoques:</w:t>
      </w:r>
    </w:p>
    <w:p w14:paraId="1CB4E97C" w14:textId="77777777" w:rsidR="000221DF" w:rsidRPr="00391757" w:rsidRDefault="00000000">
      <w:pPr>
        <w:numPr>
          <w:ilvl w:val="0"/>
          <w:numId w:val="3"/>
        </w:numPr>
        <w:spacing w:before="240"/>
        <w:rPr>
          <w:rFonts w:cs="Calibri"/>
        </w:rPr>
      </w:pPr>
      <w:r w:rsidRPr="00391757">
        <w:t>Psicológico (interés interno)</w:t>
      </w:r>
    </w:p>
    <w:p w14:paraId="636E020D" w14:textId="77777777" w:rsidR="000221DF" w:rsidRPr="00391757" w:rsidRDefault="00000000">
      <w:pPr>
        <w:numPr>
          <w:ilvl w:val="0"/>
          <w:numId w:val="3"/>
        </w:numPr>
        <w:rPr>
          <w:rFonts w:cs="Calibri"/>
        </w:rPr>
      </w:pPr>
      <w:r w:rsidRPr="00391757">
        <w:t>Conductual (acciones del consumidor)</w:t>
      </w:r>
    </w:p>
    <w:p w14:paraId="0E519BEB" w14:textId="77777777" w:rsidR="000221DF" w:rsidRPr="00391757" w:rsidRDefault="00000000">
      <w:pPr>
        <w:numPr>
          <w:ilvl w:val="0"/>
          <w:numId w:val="3"/>
        </w:numPr>
        <w:spacing w:after="240"/>
        <w:rPr>
          <w:rFonts w:cs="Calibri"/>
        </w:rPr>
      </w:pPr>
      <w:r w:rsidRPr="00391757">
        <w:t>Multidimensional (incluye riesgo, placer, importancia, etc.)</w:t>
      </w:r>
    </w:p>
    <w:p w14:paraId="6BD74F20" w14:textId="77777777" w:rsidR="000221DF" w:rsidRPr="00391757" w:rsidRDefault="00000000">
      <w:pPr>
        <w:spacing w:before="240" w:after="240"/>
        <w:rPr>
          <w:rFonts w:cs="Calibri"/>
        </w:rPr>
      </w:pPr>
      <w:r w:rsidRPr="00391757">
        <w:t>Además, se distingue entre:</w:t>
      </w:r>
    </w:p>
    <w:p w14:paraId="3E0366C7" w14:textId="77777777" w:rsidR="000221DF" w:rsidRPr="00391757" w:rsidRDefault="00000000">
      <w:pPr>
        <w:numPr>
          <w:ilvl w:val="0"/>
          <w:numId w:val="4"/>
        </w:numPr>
        <w:spacing w:before="240"/>
        <w:rPr>
          <w:rFonts w:cs="Calibri"/>
        </w:rPr>
      </w:pPr>
      <w:r w:rsidRPr="00391757">
        <w:rPr>
          <w:b/>
          <w:bCs/>
        </w:rPr>
        <w:t>Involucramiento situacional</w:t>
      </w:r>
      <w:r w:rsidRPr="00391757">
        <w:t>: depende del contexto inmediato</w:t>
      </w:r>
    </w:p>
    <w:p w14:paraId="238AA65A" w14:textId="77777777" w:rsidR="000221DF" w:rsidRPr="00391757" w:rsidRDefault="00000000">
      <w:pPr>
        <w:numPr>
          <w:ilvl w:val="0"/>
          <w:numId w:val="4"/>
        </w:numPr>
        <w:spacing w:after="240"/>
        <w:rPr>
          <w:rFonts w:cs="Calibri"/>
        </w:rPr>
      </w:pPr>
      <w:r w:rsidRPr="00391757">
        <w:rPr>
          <w:b/>
          <w:bCs/>
        </w:rPr>
        <w:t>Involucramiento duradero</w:t>
      </w:r>
      <w:r w:rsidRPr="00391757">
        <w:t>: depende de experiencias previas</w:t>
      </w:r>
    </w:p>
    <w:p w14:paraId="191C9E2B" w14:textId="77777777" w:rsidR="000221DF" w:rsidRPr="00391757" w:rsidRDefault="00000000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5" w:name="_d862opj7bxc" w:colFirst="0" w:colLast="0"/>
      <w:bookmarkEnd w:id="5"/>
      <w:r w:rsidRPr="00391757">
        <w:rPr>
          <w:bCs/>
          <w:color w:val="auto"/>
          <w:szCs w:val="22"/>
        </w:rPr>
        <w:t>Metodología</w:t>
      </w:r>
    </w:p>
    <w:p w14:paraId="79EC986E" w14:textId="77777777" w:rsidR="000221DF" w:rsidRDefault="00000000">
      <w:pPr>
        <w:numPr>
          <w:ilvl w:val="0"/>
          <w:numId w:val="6"/>
        </w:numPr>
        <w:spacing w:before="240"/>
        <w:rPr>
          <w:rFonts w:cs="Calibri"/>
        </w:rPr>
      </w:pPr>
      <w:r w:rsidRPr="00391757">
        <w:t>Se utilizó una app móvil llamada SAPI</w:t>
      </w:r>
      <w:r>
        <w:t>.</w:t>
      </w:r>
    </w:p>
    <w:p w14:paraId="04A0B8BD" w14:textId="77777777" w:rsidR="000221DF" w:rsidRDefault="00000000">
      <w:pPr>
        <w:numPr>
          <w:ilvl w:val="0"/>
          <w:numId w:val="6"/>
        </w:numPr>
        <w:rPr>
          <w:rFonts w:cs="Calibri"/>
        </w:rPr>
      </w:pPr>
      <w:r>
        <w:t>Encuesta con 5 preguntas tipo escala (emoticones)</w:t>
      </w:r>
    </w:p>
    <w:p w14:paraId="24DBD90B" w14:textId="77777777" w:rsidR="000221DF" w:rsidRDefault="00000000">
      <w:pPr>
        <w:numPr>
          <w:ilvl w:val="0"/>
          <w:numId w:val="6"/>
        </w:numPr>
        <w:rPr>
          <w:rFonts w:cs="Calibri"/>
        </w:rPr>
      </w:pPr>
      <w:r>
        <w:t>Muestra: 397 personas en Colombia</w:t>
      </w:r>
    </w:p>
    <w:p w14:paraId="21223F2F" w14:textId="77777777" w:rsidR="000221DF" w:rsidRDefault="00000000">
      <w:pPr>
        <w:numPr>
          <w:ilvl w:val="0"/>
          <w:numId w:val="6"/>
        </w:numPr>
        <w:rPr>
          <w:rFonts w:cs="Calibri"/>
        </w:rPr>
      </w:pPr>
      <w:r>
        <w:t>Se recolectaron datos adicionales como:</w:t>
      </w:r>
    </w:p>
    <w:p w14:paraId="39DEACCA" w14:textId="77777777" w:rsidR="000221DF" w:rsidRDefault="00000000">
      <w:pPr>
        <w:numPr>
          <w:ilvl w:val="1"/>
          <w:numId w:val="6"/>
        </w:numPr>
        <w:rPr>
          <w:rFonts w:cs="Calibri"/>
        </w:rPr>
      </w:pPr>
      <w:r>
        <w:t>Ubicación (GPS)</w:t>
      </w:r>
    </w:p>
    <w:p w14:paraId="2E979C7F" w14:textId="77777777" w:rsidR="000221DF" w:rsidRDefault="00000000">
      <w:pPr>
        <w:numPr>
          <w:ilvl w:val="1"/>
          <w:numId w:val="6"/>
        </w:numPr>
        <w:rPr>
          <w:rFonts w:cs="Calibri"/>
        </w:rPr>
      </w:pPr>
      <w:r>
        <w:t>Sistema operativo</w:t>
      </w:r>
    </w:p>
    <w:p w14:paraId="095B892F" w14:textId="77777777" w:rsidR="000221DF" w:rsidRDefault="00000000">
      <w:pPr>
        <w:numPr>
          <w:ilvl w:val="1"/>
          <w:numId w:val="6"/>
        </w:numPr>
        <w:spacing w:after="240"/>
        <w:rPr>
          <w:rFonts w:cs="Calibri"/>
        </w:rPr>
      </w:pPr>
      <w:r>
        <w:t>Proveedor de internet</w:t>
      </w:r>
    </w:p>
    <w:p w14:paraId="17AA89C6" w14:textId="77777777" w:rsidR="000221DF" w:rsidRPr="00391757" w:rsidRDefault="00000000">
      <w:pPr>
        <w:pStyle w:val="Ttulo3"/>
        <w:keepLines w:val="0"/>
        <w:spacing w:before="0" w:after="0"/>
        <w:jc w:val="both"/>
        <w:rPr>
          <w:rFonts w:cs="Calibri"/>
          <w:bCs/>
          <w:color w:val="auto"/>
          <w:sz w:val="22"/>
          <w:szCs w:val="22"/>
        </w:rPr>
      </w:pPr>
      <w:bookmarkStart w:id="6" w:name="_u6pd2ntinhj0" w:colFirst="0" w:colLast="0"/>
      <w:bookmarkEnd w:id="6"/>
      <w:r w:rsidRPr="00391757">
        <w:rPr>
          <w:bCs/>
          <w:color w:val="auto"/>
          <w:szCs w:val="22"/>
        </w:rPr>
        <w:t>Resultados principales</w:t>
      </w:r>
    </w:p>
    <w:p w14:paraId="04741F2A" w14:textId="77777777" w:rsidR="000221DF" w:rsidRDefault="00000000">
      <w:pPr>
        <w:numPr>
          <w:ilvl w:val="0"/>
          <w:numId w:val="2"/>
        </w:numPr>
        <w:spacing w:before="240"/>
        <w:rPr>
          <w:rFonts w:cs="Calibri"/>
        </w:rPr>
      </w:pPr>
      <w:r w:rsidRPr="00391757">
        <w:t xml:space="preserve">Las mujeres muestran </w:t>
      </w:r>
      <w:r>
        <w:t>mayor involucramiento en la compra.</w:t>
      </w:r>
    </w:p>
    <w:p w14:paraId="75DC4481" w14:textId="77777777" w:rsidR="000221DF" w:rsidRDefault="00000000">
      <w:pPr>
        <w:numPr>
          <w:ilvl w:val="0"/>
          <w:numId w:val="2"/>
        </w:numPr>
        <w:rPr>
          <w:rFonts w:cs="Calibri"/>
        </w:rPr>
      </w:pPr>
      <w:r>
        <w:t>Mayor participación entre 18 y 46 años (</w:t>
      </w:r>
      <w:r>
        <w:rPr>
          <w:i/>
          <w:iCs/>
        </w:rPr>
        <w:t>gráfica de edades en pág. 14</w:t>
      </w:r>
      <w:r>
        <w:t>).</w:t>
      </w:r>
    </w:p>
    <w:p w14:paraId="1E3CF630" w14:textId="77777777" w:rsidR="000221DF" w:rsidRDefault="00000000">
      <w:pPr>
        <w:numPr>
          <w:ilvl w:val="0"/>
          <w:numId w:val="2"/>
        </w:numPr>
        <w:rPr>
          <w:rFonts w:cs="Calibri"/>
        </w:rPr>
      </w:pPr>
      <w:r>
        <w:t>Predomina el uso de Android (88%) (</w:t>
      </w:r>
      <w:r>
        <w:rPr>
          <w:i/>
          <w:iCs/>
        </w:rPr>
        <w:t>figura en pág. 27</w:t>
      </w:r>
      <w:r>
        <w:t>).</w:t>
      </w:r>
    </w:p>
    <w:p w14:paraId="23BD4384" w14:textId="5BF6863F" w:rsidR="000221DF" w:rsidRDefault="00000000">
      <w:pPr>
        <w:numPr>
          <w:ilvl w:val="0"/>
          <w:numId w:val="2"/>
        </w:numPr>
        <w:rPr>
          <w:rFonts w:cs="Calibri"/>
        </w:rPr>
      </w:pPr>
      <w:r>
        <w:t xml:space="preserve">Bogotá concentra la mayoría de </w:t>
      </w:r>
      <w:r w:rsidR="00391757">
        <w:t>las respuestas</w:t>
      </w:r>
      <w:r>
        <w:t xml:space="preserve"> (</w:t>
      </w:r>
      <w:r>
        <w:rPr>
          <w:i/>
          <w:iCs/>
        </w:rPr>
        <w:t>tabla de ciudades pág. 25</w:t>
      </w:r>
      <w:r>
        <w:t>).</w:t>
      </w:r>
    </w:p>
    <w:p w14:paraId="2ED3DBA5" w14:textId="77777777" w:rsidR="000221DF" w:rsidRPr="00391757" w:rsidRDefault="00000000">
      <w:pPr>
        <w:numPr>
          <w:ilvl w:val="0"/>
          <w:numId w:val="2"/>
        </w:numPr>
        <w:rPr>
          <w:rFonts w:cs="Calibri"/>
        </w:rPr>
      </w:pPr>
      <w:r>
        <w:t>Factores importantes:</w:t>
      </w:r>
    </w:p>
    <w:p w14:paraId="71DA3C4F" w14:textId="77777777" w:rsidR="00391757" w:rsidRDefault="00391757" w:rsidP="00391757">
      <w:pPr>
        <w:ind w:left="720"/>
        <w:rPr>
          <w:rFonts w:cs="Calibri"/>
        </w:rPr>
      </w:pPr>
    </w:p>
    <w:p w14:paraId="109E27BB" w14:textId="77777777" w:rsidR="000221DF" w:rsidRDefault="00000000">
      <w:pPr>
        <w:numPr>
          <w:ilvl w:val="1"/>
          <w:numId w:val="2"/>
        </w:numPr>
        <w:rPr>
          <w:rFonts w:cs="Calibri"/>
        </w:rPr>
      </w:pPr>
      <w:r>
        <w:lastRenderedPageBreak/>
        <w:t>Importancia del producto</w:t>
      </w:r>
    </w:p>
    <w:p w14:paraId="1E66DBCC" w14:textId="77777777" w:rsidR="000221DF" w:rsidRDefault="00000000">
      <w:pPr>
        <w:numPr>
          <w:ilvl w:val="1"/>
          <w:numId w:val="2"/>
        </w:numPr>
        <w:rPr>
          <w:rFonts w:cs="Calibri"/>
        </w:rPr>
      </w:pPr>
      <w:r>
        <w:t>Comparación con otras marcas</w:t>
      </w:r>
    </w:p>
    <w:p w14:paraId="6B0AD0B0" w14:textId="77777777" w:rsidR="000221DF" w:rsidRDefault="00000000">
      <w:pPr>
        <w:numPr>
          <w:ilvl w:val="1"/>
          <w:numId w:val="2"/>
        </w:numPr>
        <w:spacing w:after="240"/>
        <w:rPr>
          <w:rFonts w:cs="Calibri"/>
        </w:rPr>
      </w:pPr>
      <w:r>
        <w:t>Impacto emocional de la compra</w:t>
      </w:r>
    </w:p>
    <w:p w14:paraId="18F4D6E4" w14:textId="77777777" w:rsidR="000221DF" w:rsidRDefault="00000000">
      <w:pPr>
        <w:spacing w:before="240" w:after="240"/>
        <w:rPr>
          <w:rFonts w:cs="Calibri"/>
        </w:rPr>
      </w:pPr>
      <w:r>
        <w:t xml:space="preserve">Según la nube de palabras en la página 32, términos como </w:t>
      </w:r>
      <w:r>
        <w:rPr>
          <w:i/>
          <w:iCs/>
        </w:rPr>
        <w:t>“ropa”, “encanta”, “personalidad”, “estilo”</w:t>
      </w:r>
      <w:r>
        <w:t xml:space="preserve"> muestran que la compra de ropa tiene un fuerte componente emocional y de identidad.</w:t>
      </w:r>
    </w:p>
    <w:p w14:paraId="03E4B27D" w14:textId="77777777" w:rsidR="000221DF" w:rsidRDefault="00000000">
      <w:pPr>
        <w:spacing w:before="240" w:after="240"/>
        <w:jc w:val="center"/>
        <w:rPr>
          <w:rFonts w:cs="Calibri"/>
        </w:rPr>
      </w:pPr>
      <w:r>
        <w:rPr>
          <w:noProof/>
        </w:rPr>
        <w:drawing>
          <wp:inline distT="114300" distB="114300" distL="114300" distR="114300" wp14:anchorId="50A5A3E7" wp14:editId="7D8DB20D">
            <wp:extent cx="5943600" cy="379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007B9" w14:textId="77777777" w:rsidR="000221DF" w:rsidRDefault="00000000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7" w:name="_d1u385o9q1fh" w:colFirst="0" w:colLast="0"/>
      <w:bookmarkEnd w:id="7"/>
      <w:r>
        <w:rPr>
          <w:bCs/>
          <w:szCs w:val="22"/>
        </w:rPr>
        <w:t>4. Conceptos fundamentales</w:t>
      </w:r>
    </w:p>
    <w:p w14:paraId="51554BC0" w14:textId="77777777" w:rsidR="000221DF" w:rsidRDefault="00000000">
      <w:pPr>
        <w:numPr>
          <w:ilvl w:val="0"/>
          <w:numId w:val="5"/>
        </w:numPr>
        <w:spacing w:before="240"/>
        <w:rPr>
          <w:rFonts w:cs="Calibri"/>
        </w:rPr>
      </w:pPr>
      <w:r>
        <w:t>Involucramiento del consumidor</w:t>
      </w:r>
    </w:p>
    <w:p w14:paraId="5047F537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Involucramiento del producto vs decisión</w:t>
      </w:r>
    </w:p>
    <w:p w14:paraId="73973178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Involucramiento situacional y duradero</w:t>
      </w:r>
    </w:p>
    <w:p w14:paraId="0A51B76B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Proceso de decisión de compra</w:t>
      </w:r>
    </w:p>
    <w:p w14:paraId="7BF629DB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Factores culturales, sociales, personales y psicológicos</w:t>
      </w:r>
    </w:p>
    <w:p w14:paraId="2DB0BA49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TIC (Tecnologías de información y comunicación)</w:t>
      </w:r>
    </w:p>
    <w:p w14:paraId="6FE74295" w14:textId="77777777" w:rsidR="000221DF" w:rsidRDefault="00000000">
      <w:pPr>
        <w:numPr>
          <w:ilvl w:val="0"/>
          <w:numId w:val="5"/>
        </w:numPr>
        <w:rPr>
          <w:rFonts w:cs="Calibri"/>
        </w:rPr>
      </w:pPr>
      <w:r>
        <w:t>Escala de Mittal</w:t>
      </w:r>
    </w:p>
    <w:p w14:paraId="15F23396" w14:textId="77777777" w:rsidR="000221DF" w:rsidRDefault="00000000">
      <w:pPr>
        <w:numPr>
          <w:ilvl w:val="0"/>
          <w:numId w:val="5"/>
        </w:numPr>
        <w:spacing w:after="240"/>
        <w:rPr>
          <w:rFonts w:cs="Calibri"/>
        </w:rPr>
      </w:pPr>
      <w:r>
        <w:t>Patrones de comportamiento</w:t>
      </w:r>
    </w:p>
    <w:p w14:paraId="07B1B2E0" w14:textId="77777777" w:rsidR="000221DF" w:rsidRDefault="00000000">
      <w:pPr>
        <w:pStyle w:val="Ttulo2"/>
        <w:keepLines w:val="0"/>
        <w:spacing w:before="0" w:after="0"/>
        <w:jc w:val="both"/>
        <w:rPr>
          <w:rFonts w:cs="Calibri"/>
          <w:bCs/>
          <w:sz w:val="22"/>
          <w:szCs w:val="22"/>
        </w:rPr>
      </w:pPr>
      <w:bookmarkStart w:id="8" w:name="_jxukmfh6x0yo" w:colFirst="0" w:colLast="0"/>
      <w:bookmarkEnd w:id="8"/>
      <w:r>
        <w:rPr>
          <w:bCs/>
          <w:szCs w:val="22"/>
        </w:rPr>
        <w:lastRenderedPageBreak/>
        <w:t>5. Conclusión general</w:t>
      </w:r>
    </w:p>
    <w:p w14:paraId="4727E363" w14:textId="77777777" w:rsidR="000221DF" w:rsidRDefault="00000000">
      <w:pPr>
        <w:spacing w:before="240" w:after="240"/>
        <w:rPr>
          <w:rFonts w:cs="Calibri"/>
        </w:rPr>
      </w:pPr>
      <w:r>
        <w:t>El estudio demuestra que el uso de aplicaciones móviles permite medir el involucramiento del consumidor de forma más precisa y realista, al hacerlo en el momento de la compra. Esto reduce sesgos y aporta información valiosa tanto del comportamiento como del contexto del consumidor.</w:t>
      </w:r>
    </w:p>
    <w:p w14:paraId="604B26A7" w14:textId="77777777" w:rsidR="000221DF" w:rsidRDefault="00000000">
      <w:pPr>
        <w:spacing w:before="240" w:after="240"/>
        <w:rPr>
          <w:rFonts w:cs="Calibri"/>
        </w:rPr>
      </w:pPr>
      <w:r>
        <w:t>Además, se concluye que el involucramiento está fuertemente influenciado por factores emocionales, sociales y tecnológicos, lo que abre oportunidades para estrategias de marketing más personalizadas y efectivas.</w:t>
      </w:r>
    </w:p>
    <w:p w14:paraId="3E16BEC4" w14:textId="77777777" w:rsidR="000221DF" w:rsidRDefault="000221DF">
      <w:pPr>
        <w:rPr>
          <w:rFonts w:cs="Calibri"/>
        </w:rPr>
        <w:sectPr w:rsidR="000221DF">
          <w:headerReference w:type="default" r:id="rId9"/>
          <w:footerReference w:type="default" r:id="rId10"/>
          <w:type w:val="continuous"/>
          <w:pgSz w:w="12240" w:h="15840"/>
          <w:pgMar w:top="2098" w:right="1701" w:bottom="1701" w:left="1701" w:header="0" w:footer="720" w:gutter="0"/>
          <w:pgNumType w:start="0"/>
          <w:cols w:space="720"/>
          <w:titlePg/>
        </w:sectPr>
      </w:pPr>
    </w:p>
    <w:p w14:paraId="09A146D7" w14:textId="77777777" w:rsidR="000221DF" w:rsidRDefault="00000000">
      <w:pPr>
        <w:jc w:val="center"/>
        <w:rPr>
          <w:rFonts w:cs="Calibri"/>
        </w:rPr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3FF49475" wp14:editId="24F030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958" name="CoverImg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" name="CoverImg49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21DF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2098" w:right="1701" w:bottom="170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E89B" w14:textId="77777777" w:rsidR="00C8536B" w:rsidRDefault="00C8536B">
      <w:pPr>
        <w:spacing w:line="240" w:lineRule="auto"/>
      </w:pPr>
      <w:r>
        <w:separator/>
      </w:r>
    </w:p>
  </w:endnote>
  <w:endnote w:type="continuationSeparator" w:id="0">
    <w:p w14:paraId="2E4AF7B3" w14:textId="77777777" w:rsidR="00C8536B" w:rsidRDefault="00C85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9F84FE-1675-4B7F-ACA5-812A74C91015}"/>
    <w:embedBold r:id="rId2" w:fontKey="{92B90668-508B-4A23-98B1-87F41E2C853C}"/>
    <w:embedItalic r:id="rId3" w:fontKey="{08744AF5-670E-439E-B1DA-0AAD1E1AB2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F433BE-93C6-4A86-9961-125B49A346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ACB17" w14:textId="77777777" w:rsidR="000221DF" w:rsidRDefault="00000000">
    <w:pPr>
      <w:jc w:val="right"/>
    </w:pP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 w:rsidR="00391757">
      <w:rPr>
        <w:rFonts w:cs="Calibri"/>
      </w:rPr>
      <w:fldChar w:fldCharType="separate"/>
    </w:r>
    <w:r w:rsidR="00391757">
      <w:rPr>
        <w:rFonts w:cs="Calibri"/>
        <w:noProof/>
      </w:rPr>
      <w:t>1</w:t>
    </w:r>
    <w:r>
      <w:rPr>
        <w:rFonts w:cs="Calibri"/>
      </w:rPr>
      <w:fldChar w:fldCharType="end"/>
    </w:r>
  </w:p>
  <w:p w14:paraId="1FFE11B7" w14:textId="77777777" w:rsidR="000221DF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78B78350" wp14:editId="333579E4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57908" name="FtrImg57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08" name="FtrImg579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C19E" w14:textId="77777777" w:rsidR="000221DF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7B726371" wp14:editId="6E5DE49A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25475" name="FtrImg254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75" name="FtrImg254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1748" w14:textId="77777777" w:rsidR="000221DF" w:rsidRDefault="000221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0C6C" w14:textId="77777777" w:rsidR="00C8536B" w:rsidRDefault="00C8536B">
      <w:pPr>
        <w:spacing w:line="240" w:lineRule="auto"/>
      </w:pPr>
      <w:r>
        <w:separator/>
      </w:r>
    </w:p>
  </w:footnote>
  <w:footnote w:type="continuationSeparator" w:id="0">
    <w:p w14:paraId="24708B56" w14:textId="77777777" w:rsidR="00C8536B" w:rsidRDefault="00C853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FD5C3" w14:textId="77777777" w:rsidR="000221DF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39F13DF6" wp14:editId="76E2DFF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31279" name="HdrImg312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79" name="HdrImg312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3D9E" w14:textId="77777777" w:rsidR="000221DF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2591F3F9" wp14:editId="6B49709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20071" name="HdrImg200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1" name="HdrImg200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0D91" w14:textId="77777777" w:rsidR="000221DF" w:rsidRDefault="000221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DB1"/>
    <w:multiLevelType w:val="multilevel"/>
    <w:tmpl w:val="BCB2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405CC"/>
    <w:multiLevelType w:val="multilevel"/>
    <w:tmpl w:val="02A48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D67DDF"/>
    <w:multiLevelType w:val="multilevel"/>
    <w:tmpl w:val="59CC7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BC1840"/>
    <w:multiLevelType w:val="multilevel"/>
    <w:tmpl w:val="05AE3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D94508"/>
    <w:multiLevelType w:val="multilevel"/>
    <w:tmpl w:val="19AE8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792428"/>
    <w:multiLevelType w:val="multilevel"/>
    <w:tmpl w:val="935CB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169506">
    <w:abstractNumId w:val="3"/>
  </w:num>
  <w:num w:numId="2" w16cid:durableId="122695206">
    <w:abstractNumId w:val="4"/>
  </w:num>
  <w:num w:numId="3" w16cid:durableId="858082257">
    <w:abstractNumId w:val="2"/>
  </w:num>
  <w:num w:numId="4" w16cid:durableId="1080256469">
    <w:abstractNumId w:val="5"/>
  </w:num>
  <w:num w:numId="5" w16cid:durableId="1282687867">
    <w:abstractNumId w:val="0"/>
  </w:num>
  <w:num w:numId="6" w16cid:durableId="50077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1DF"/>
    <w:rsid w:val="000221DF"/>
    <w:rsid w:val="00391757"/>
    <w:rsid w:val="00C8536B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11942"/>
  <w15:docId w15:val="{B836194B-55E5-4292-9FD2-EEA0C95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lang w:val="es-BO" w:bidi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0000"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55555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TD-Mica</cp:lastModifiedBy>
  <cp:revision>2</cp:revision>
  <dcterms:created xsi:type="dcterms:W3CDTF">2026-05-12T19:25:00Z</dcterms:created>
  <dcterms:modified xsi:type="dcterms:W3CDTF">2026-05-12T19:26:00Z</dcterms:modified>
</cp:coreProperties>
</file>