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A7640" w14:textId="3742BF03" w:rsidR="00A36B16" w:rsidRPr="00F17B0C" w:rsidRDefault="00A36B16" w:rsidP="00A36B16">
      <w:pPr>
        <w:spacing w:before="100" w:beforeAutospacing="1" w:after="100" w:afterAutospacing="1" w:line="240" w:lineRule="auto"/>
        <w:jc w:val="center"/>
        <w:rPr>
          <w:rFonts w:ascii="Suprema" w:eastAsia="Times New Roman" w:hAnsi="Suprema" w:cs="Times New Roman"/>
          <w:b/>
          <w:bCs/>
          <w:sz w:val="20"/>
          <w:szCs w:val="20"/>
          <w:lang w:eastAsia="es-BO"/>
        </w:rPr>
      </w:pPr>
      <w:r w:rsidRPr="00F17B0C">
        <w:rPr>
          <w:rFonts w:ascii="Suprema" w:eastAsia="Times New Roman" w:hAnsi="Suprema" w:cs="Times New Roman"/>
          <w:b/>
          <w:bCs/>
          <w:sz w:val="20"/>
          <w:szCs w:val="20"/>
          <w:highlight w:val="yellow"/>
          <w:lang w:eastAsia="es-BO"/>
        </w:rPr>
        <w:t>EJEMPLO DE LLENADO MATERIA:</w:t>
      </w:r>
    </w:p>
    <w:tbl>
      <w:tblPr>
        <w:tblStyle w:val="Tablaconcuadrcula"/>
        <w:tblW w:w="5000" w:type="pct"/>
        <w:tblLook w:val="04A0" w:firstRow="1" w:lastRow="0" w:firstColumn="1" w:lastColumn="0" w:noHBand="0" w:noVBand="1"/>
      </w:tblPr>
      <w:tblGrid>
        <w:gridCol w:w="2990"/>
        <w:gridCol w:w="5504"/>
      </w:tblGrid>
      <w:tr w:rsidR="00A36B16" w:rsidRPr="00F17B0C" w14:paraId="1011B6B7" w14:textId="77777777" w:rsidTr="00A56EF4">
        <w:tc>
          <w:tcPr>
            <w:tcW w:w="5000" w:type="pct"/>
            <w:gridSpan w:val="2"/>
            <w:shd w:val="clear" w:color="auto" w:fill="385623" w:themeFill="accent6" w:themeFillShade="80"/>
          </w:tcPr>
          <w:p w14:paraId="26E73CBC" w14:textId="6EBE8FB5" w:rsidR="00A36B16" w:rsidRPr="00F17B0C" w:rsidRDefault="00725544" w:rsidP="00A56EF4">
            <w:pPr>
              <w:spacing w:after="160" w:line="259" w:lineRule="auto"/>
              <w:jc w:val="center"/>
              <w:rPr>
                <w:rFonts w:ascii="Suprema" w:hAnsi="Suprema"/>
                <w:b/>
                <w:bCs/>
                <w:sz w:val="20"/>
                <w:szCs w:val="20"/>
              </w:rPr>
            </w:pPr>
            <w:r>
              <w:rPr>
                <w:rFonts w:ascii="Suprema" w:hAnsi="Suprema"/>
                <w:b/>
                <w:bCs/>
                <w:color w:val="FFFFFF" w:themeColor="background1"/>
                <w:sz w:val="20"/>
                <w:szCs w:val="20"/>
              </w:rPr>
              <w:t xml:space="preserve">EJEMPLO </w:t>
            </w:r>
            <w:r w:rsidR="00A36B16" w:rsidRPr="00F17B0C">
              <w:rPr>
                <w:rFonts w:ascii="Suprema" w:hAnsi="Suprema"/>
                <w:b/>
                <w:bCs/>
                <w:color w:val="FFFFFF" w:themeColor="background1"/>
                <w:sz w:val="20"/>
                <w:szCs w:val="20"/>
              </w:rPr>
              <w:t xml:space="preserve">GUION PÁGINA INICIO </w:t>
            </w:r>
          </w:p>
        </w:tc>
      </w:tr>
      <w:tr w:rsidR="00A36B16" w:rsidRPr="00F17B0C" w14:paraId="6A67FD5F" w14:textId="77777777" w:rsidTr="00A56EF4">
        <w:tc>
          <w:tcPr>
            <w:tcW w:w="5000" w:type="pct"/>
            <w:gridSpan w:val="2"/>
            <w:shd w:val="clear" w:color="auto" w:fill="A8D08D" w:themeFill="accent6" w:themeFillTint="99"/>
            <w:hideMark/>
          </w:tcPr>
          <w:p w14:paraId="129B49B9" w14:textId="77777777" w:rsidR="00A36B16" w:rsidRPr="00F17B0C" w:rsidRDefault="00A36B16" w:rsidP="00A56EF4">
            <w:pPr>
              <w:rPr>
                <w:rFonts w:ascii="Suprema" w:eastAsia="Times New Roman" w:hAnsi="Suprema" w:cs="Times New Roman"/>
                <w:sz w:val="20"/>
                <w:szCs w:val="20"/>
                <w:lang w:eastAsia="es-BO"/>
              </w:rPr>
            </w:pPr>
            <w:r w:rsidRPr="00F17B0C">
              <w:rPr>
                <w:rFonts w:ascii="Suprema" w:eastAsia="Times New Roman" w:hAnsi="Suprema" w:cs="Times New Roman"/>
                <w:b/>
                <w:bCs/>
                <w:sz w:val="20"/>
                <w:szCs w:val="20"/>
                <w:lang w:eastAsia="es-BO"/>
              </w:rPr>
              <w:t>1. Saludo y presentación docente</w:t>
            </w:r>
          </w:p>
        </w:tc>
      </w:tr>
      <w:tr w:rsidR="00A36B16" w:rsidRPr="00F17B0C" w14:paraId="08C38BA7" w14:textId="77777777" w:rsidTr="00A56EF4">
        <w:tc>
          <w:tcPr>
            <w:tcW w:w="1760" w:type="pct"/>
            <w:shd w:val="clear" w:color="auto" w:fill="E2EFD9" w:themeFill="accent6" w:themeFillTint="33"/>
            <w:hideMark/>
          </w:tcPr>
          <w:p w14:paraId="32700413" w14:textId="77777777" w:rsidR="00A36B16" w:rsidRPr="00F17B0C" w:rsidRDefault="00A36B16" w:rsidP="00A56EF4">
            <w:pPr>
              <w:rPr>
                <w:rFonts w:ascii="Suprema" w:eastAsia="Times New Roman" w:hAnsi="Suprema" w:cs="Times New Roman"/>
                <w:sz w:val="20"/>
                <w:szCs w:val="20"/>
                <w:lang w:eastAsia="es-BO"/>
              </w:rPr>
            </w:pPr>
            <w:r w:rsidRPr="00F17B0C">
              <w:rPr>
                <w:rFonts w:ascii="Suprema" w:eastAsia="Times New Roman" w:hAnsi="Suprema" w:cs="Times New Roman"/>
                <w:b/>
                <w:bCs/>
                <w:sz w:val="20"/>
                <w:szCs w:val="20"/>
                <w:lang w:eastAsia="es-BO"/>
              </w:rPr>
              <w:t>Nombre del docente:</w:t>
            </w:r>
          </w:p>
        </w:tc>
        <w:tc>
          <w:tcPr>
            <w:tcW w:w="3240" w:type="pct"/>
            <w:hideMark/>
          </w:tcPr>
          <w:p w14:paraId="1B496D00" w14:textId="77777777" w:rsidR="00A36B16" w:rsidRPr="00F17B0C" w:rsidRDefault="00EC1467" w:rsidP="00A56EF4">
            <w:pPr>
              <w:rPr>
                <w:rFonts w:ascii="Suprema" w:hAnsi="Suprema"/>
                <w:sz w:val="20"/>
                <w:szCs w:val="20"/>
              </w:rPr>
            </w:pPr>
            <w:r w:rsidRPr="00F17B0C">
              <w:rPr>
                <w:rFonts w:ascii="Suprema" w:hAnsi="Suprema"/>
                <w:sz w:val="20"/>
                <w:szCs w:val="20"/>
              </w:rPr>
              <w:t>Cosme Fulanito</w:t>
            </w:r>
          </w:p>
          <w:p w14:paraId="0E590939" w14:textId="05DF227B" w:rsidR="00F17B0C" w:rsidRPr="00F17B0C" w:rsidRDefault="00F17B0C" w:rsidP="00A56EF4">
            <w:pPr>
              <w:rPr>
                <w:rFonts w:ascii="Suprema" w:eastAsia="Times New Roman" w:hAnsi="Suprema" w:cs="Times New Roman"/>
                <w:sz w:val="20"/>
                <w:szCs w:val="20"/>
                <w:lang w:eastAsia="es-BO"/>
              </w:rPr>
            </w:pPr>
            <w:r w:rsidRPr="00F17B0C">
              <w:rPr>
                <w:rFonts w:ascii="Suprema" w:eastAsia="Times New Roman" w:hAnsi="Suprema" w:cs="Times New Roman"/>
                <w:sz w:val="20"/>
                <w:szCs w:val="20"/>
                <w:lang w:eastAsia="es-BO"/>
              </w:rPr>
              <w:t>Como docente e investigador en comunicación audiovisual, mi formación académica se complementa con años de experiencia en proyectos de producción, análisis y diseño de contenidos audiovisuales para distintos contextos</w:t>
            </w:r>
            <w:r w:rsidRPr="00F17B0C">
              <w:rPr>
                <w:rFonts w:ascii="Suprema" w:eastAsia="Times New Roman" w:hAnsi="Suprema" w:cs="Times New Roman"/>
                <w:sz w:val="20"/>
                <w:szCs w:val="20"/>
                <w:lang w:eastAsia="es-BO"/>
              </w:rPr>
              <w:t xml:space="preserve"> como ser</w:t>
            </w:r>
            <w:r w:rsidRPr="00F17B0C">
              <w:rPr>
                <w:rFonts w:ascii="Suprema" w:eastAsia="Times New Roman" w:hAnsi="Suprema" w:cs="Times New Roman"/>
                <w:sz w:val="20"/>
                <w:szCs w:val="20"/>
                <w:lang w:eastAsia="es-BO"/>
              </w:rPr>
              <w:t xml:space="preserve"> educativos, culturales, publicitarios y digitales. Esta doble mirada </w:t>
            </w:r>
            <w:r w:rsidRPr="00F17B0C">
              <w:rPr>
                <w:rFonts w:ascii="Suprema" w:eastAsia="Times New Roman" w:hAnsi="Suprema" w:cs="Times New Roman"/>
                <w:sz w:val="20"/>
                <w:szCs w:val="20"/>
                <w:lang w:eastAsia="es-BO"/>
              </w:rPr>
              <w:t xml:space="preserve">de </w:t>
            </w:r>
            <w:r w:rsidRPr="00F17B0C">
              <w:rPr>
                <w:rFonts w:ascii="Suprema" w:eastAsia="Times New Roman" w:hAnsi="Suprema" w:cs="Times New Roman"/>
                <w:sz w:val="20"/>
                <w:szCs w:val="20"/>
                <w:lang w:eastAsia="es-BO"/>
              </w:rPr>
              <w:t>teórica y práctica</w:t>
            </w:r>
            <w:r w:rsidRPr="00F17B0C">
              <w:rPr>
                <w:rFonts w:ascii="Suprema" w:eastAsia="Times New Roman" w:hAnsi="Suprema" w:cs="Times New Roman"/>
                <w:sz w:val="20"/>
                <w:szCs w:val="20"/>
                <w:lang w:eastAsia="es-BO"/>
              </w:rPr>
              <w:t xml:space="preserve"> me </w:t>
            </w:r>
            <w:r w:rsidRPr="00F17B0C">
              <w:rPr>
                <w:rFonts w:ascii="Suprema" w:eastAsia="Times New Roman" w:hAnsi="Suprema" w:cs="Times New Roman"/>
                <w:sz w:val="20"/>
                <w:szCs w:val="20"/>
                <w:lang w:eastAsia="es-BO"/>
              </w:rPr>
              <w:t>orient</w:t>
            </w:r>
            <w:r w:rsidRPr="00F17B0C">
              <w:rPr>
                <w:rFonts w:ascii="Suprema" w:eastAsia="Times New Roman" w:hAnsi="Suprema" w:cs="Times New Roman"/>
                <w:sz w:val="20"/>
                <w:szCs w:val="20"/>
                <w:lang w:eastAsia="es-BO"/>
              </w:rPr>
              <w:t>o</w:t>
            </w:r>
            <w:r w:rsidRPr="00F17B0C">
              <w:rPr>
                <w:rFonts w:ascii="Suprema" w:eastAsia="Times New Roman" w:hAnsi="Suprema" w:cs="Times New Roman"/>
                <w:sz w:val="20"/>
                <w:szCs w:val="20"/>
                <w:lang w:eastAsia="es-BO"/>
              </w:rPr>
              <w:t xml:space="preserve"> </w:t>
            </w:r>
            <w:r w:rsidRPr="00F17B0C">
              <w:rPr>
                <w:rFonts w:ascii="Suprema" w:eastAsia="Times New Roman" w:hAnsi="Suprema" w:cs="Times New Roman"/>
                <w:sz w:val="20"/>
                <w:szCs w:val="20"/>
                <w:lang w:eastAsia="es-BO"/>
              </w:rPr>
              <w:t xml:space="preserve">a darle </w:t>
            </w:r>
            <w:r w:rsidRPr="00F17B0C">
              <w:rPr>
                <w:rFonts w:ascii="Suprema" w:eastAsia="Times New Roman" w:hAnsi="Suprema" w:cs="Times New Roman"/>
                <w:sz w:val="20"/>
                <w:szCs w:val="20"/>
                <w:lang w:eastAsia="es-BO"/>
              </w:rPr>
              <w:t>el enfoque de la asignatura</w:t>
            </w:r>
            <w:r w:rsidRPr="00F17B0C">
              <w:rPr>
                <w:rFonts w:ascii="Suprema" w:eastAsia="Times New Roman" w:hAnsi="Suprema" w:cs="Times New Roman"/>
                <w:sz w:val="20"/>
                <w:szCs w:val="20"/>
                <w:lang w:eastAsia="es-BO"/>
              </w:rPr>
              <w:t xml:space="preserve"> en buscar </w:t>
            </w:r>
            <w:r w:rsidRPr="00F17B0C">
              <w:rPr>
                <w:rFonts w:ascii="Suprema" w:eastAsia="Times New Roman" w:hAnsi="Suprema" w:cs="Times New Roman"/>
                <w:sz w:val="20"/>
                <w:szCs w:val="20"/>
                <w:lang w:eastAsia="es-BO"/>
              </w:rPr>
              <w:t>que el estudiante comprenda el audiovisual no solo como un producto técnico, sino como un sistema de significación profundamente ligado a la cultura contemporánea.</w:t>
            </w:r>
          </w:p>
        </w:tc>
      </w:tr>
      <w:tr w:rsidR="00A36B16" w:rsidRPr="00F17B0C" w14:paraId="0755FD6D" w14:textId="77777777" w:rsidTr="00A56EF4">
        <w:tc>
          <w:tcPr>
            <w:tcW w:w="5000" w:type="pct"/>
            <w:gridSpan w:val="2"/>
            <w:shd w:val="clear" w:color="auto" w:fill="A8D08D" w:themeFill="accent6" w:themeFillTint="99"/>
            <w:hideMark/>
          </w:tcPr>
          <w:p w14:paraId="50D14522" w14:textId="77777777" w:rsidR="00A36B16" w:rsidRPr="00F17B0C" w:rsidRDefault="00A36B16" w:rsidP="00A56EF4">
            <w:pPr>
              <w:rPr>
                <w:rFonts w:ascii="Suprema" w:eastAsia="Times New Roman" w:hAnsi="Suprema" w:cs="Times New Roman"/>
                <w:sz w:val="20"/>
                <w:szCs w:val="20"/>
                <w:lang w:eastAsia="es-BO"/>
              </w:rPr>
            </w:pPr>
            <w:r w:rsidRPr="00F17B0C">
              <w:rPr>
                <w:rFonts w:ascii="Suprema" w:eastAsia="Times New Roman" w:hAnsi="Suprema" w:cs="Times New Roman"/>
                <w:b/>
                <w:bCs/>
                <w:sz w:val="20"/>
                <w:szCs w:val="20"/>
                <w:lang w:eastAsia="es-BO"/>
              </w:rPr>
              <w:t>2. Introducción a la asignatura</w:t>
            </w:r>
          </w:p>
        </w:tc>
      </w:tr>
      <w:tr w:rsidR="00A36B16" w:rsidRPr="00F17B0C" w14:paraId="1CC873F2" w14:textId="77777777" w:rsidTr="00A56EF4">
        <w:tc>
          <w:tcPr>
            <w:tcW w:w="1760" w:type="pct"/>
            <w:shd w:val="clear" w:color="auto" w:fill="E2EFD9" w:themeFill="accent6" w:themeFillTint="33"/>
            <w:hideMark/>
          </w:tcPr>
          <w:p w14:paraId="08E7EA6F" w14:textId="77777777" w:rsidR="00A36B16" w:rsidRPr="00F17B0C" w:rsidRDefault="00A36B16" w:rsidP="00A56EF4">
            <w:pPr>
              <w:rPr>
                <w:rFonts w:ascii="Suprema" w:eastAsia="Times New Roman" w:hAnsi="Suprema" w:cs="Times New Roman"/>
                <w:sz w:val="20"/>
                <w:szCs w:val="20"/>
                <w:lang w:eastAsia="es-BO"/>
              </w:rPr>
            </w:pPr>
            <w:r w:rsidRPr="00F17B0C">
              <w:rPr>
                <w:rFonts w:ascii="Suprema" w:eastAsia="Times New Roman" w:hAnsi="Suprema" w:cs="Times New Roman"/>
                <w:b/>
                <w:bCs/>
                <w:sz w:val="20"/>
                <w:szCs w:val="20"/>
                <w:lang w:eastAsia="es-BO"/>
              </w:rPr>
              <w:t>¿De qué trata la asignatura?</w:t>
            </w:r>
          </w:p>
        </w:tc>
        <w:tc>
          <w:tcPr>
            <w:tcW w:w="3240" w:type="pct"/>
            <w:hideMark/>
          </w:tcPr>
          <w:p w14:paraId="46F44971" w14:textId="7832EDB2" w:rsidR="00F17B0C" w:rsidRPr="00F17B0C" w:rsidRDefault="00F17B0C" w:rsidP="00F17B0C">
            <w:pPr>
              <w:rPr>
                <w:rFonts w:ascii="Suprema" w:hAnsi="Suprema"/>
                <w:sz w:val="20"/>
                <w:szCs w:val="20"/>
              </w:rPr>
            </w:pPr>
            <w:r w:rsidRPr="00F17B0C">
              <w:rPr>
                <w:rFonts w:ascii="Suprema" w:hAnsi="Suprema"/>
                <w:sz w:val="20"/>
                <w:szCs w:val="20"/>
              </w:rPr>
              <w:t xml:space="preserve">La asignatura Comunicación Audiovisual propone un abordaje integral del lenguaje audiovisual como forma de pensamiento, expresión y comunicación. A partir de la investigación académica y de la práctica profesional, entendemos el audiovisual como un proceso en el que cada decisión </w:t>
            </w:r>
            <w:r>
              <w:rPr>
                <w:rFonts w:ascii="Suprema" w:hAnsi="Suprema"/>
                <w:sz w:val="20"/>
                <w:szCs w:val="20"/>
              </w:rPr>
              <w:t>e</w:t>
            </w:r>
            <w:r w:rsidRPr="00F17B0C">
              <w:rPr>
                <w:rFonts w:ascii="Suprema" w:hAnsi="Suprema"/>
                <w:sz w:val="20"/>
                <w:szCs w:val="20"/>
              </w:rPr>
              <w:t>ncuadre, duración del plano, uso del sonido o montaje</w:t>
            </w:r>
            <w:r>
              <w:rPr>
                <w:rFonts w:ascii="Suprema" w:hAnsi="Suprema"/>
                <w:sz w:val="20"/>
                <w:szCs w:val="20"/>
              </w:rPr>
              <w:t xml:space="preserve"> sea</w:t>
            </w:r>
            <w:r w:rsidRPr="00F17B0C">
              <w:rPr>
                <w:rFonts w:ascii="Suprema" w:hAnsi="Suprema"/>
                <w:sz w:val="20"/>
                <w:szCs w:val="20"/>
              </w:rPr>
              <w:t xml:space="preserve"> constru</w:t>
            </w:r>
            <w:r>
              <w:rPr>
                <w:rFonts w:ascii="Suprema" w:hAnsi="Suprema"/>
                <w:sz w:val="20"/>
                <w:szCs w:val="20"/>
              </w:rPr>
              <w:t xml:space="preserve">ido </w:t>
            </w:r>
            <w:proofErr w:type="gramStart"/>
            <w:r>
              <w:rPr>
                <w:rFonts w:ascii="Suprema" w:hAnsi="Suprema"/>
                <w:sz w:val="20"/>
                <w:szCs w:val="20"/>
              </w:rPr>
              <w:t xml:space="preserve">con </w:t>
            </w:r>
            <w:r w:rsidRPr="00F17B0C">
              <w:rPr>
                <w:rFonts w:ascii="Suprema" w:hAnsi="Suprema"/>
                <w:sz w:val="20"/>
                <w:szCs w:val="20"/>
              </w:rPr>
              <w:t xml:space="preserve"> sentido</w:t>
            </w:r>
            <w:proofErr w:type="gramEnd"/>
            <w:r w:rsidRPr="00F17B0C">
              <w:rPr>
                <w:rFonts w:ascii="Suprema" w:hAnsi="Suprema"/>
                <w:sz w:val="20"/>
                <w:szCs w:val="20"/>
              </w:rPr>
              <w:t>. El objetivo no es únicamente aprender a producir piezas audiovisuales, sino desarrollar una mirada crítica capaz de analizar cómo se generan discursos visuales y sonoros que influyen en la percepción, la emoción y la interpretación de la realidad.</w:t>
            </w:r>
          </w:p>
          <w:p w14:paraId="24B23F0E" w14:textId="77777777" w:rsidR="00F17B0C" w:rsidRPr="00F17B0C" w:rsidRDefault="00F17B0C" w:rsidP="00F17B0C">
            <w:pPr>
              <w:rPr>
                <w:rFonts w:ascii="Suprema" w:hAnsi="Suprema"/>
                <w:sz w:val="20"/>
                <w:szCs w:val="20"/>
              </w:rPr>
            </w:pPr>
          </w:p>
          <w:p w14:paraId="441961C4" w14:textId="6529CF1B" w:rsidR="00A36B16" w:rsidRPr="00F17B0C" w:rsidRDefault="00F17B0C" w:rsidP="00F17B0C">
            <w:pPr>
              <w:rPr>
                <w:rFonts w:ascii="Suprema" w:eastAsia="Times New Roman" w:hAnsi="Suprema" w:cs="Times New Roman"/>
                <w:sz w:val="20"/>
                <w:szCs w:val="20"/>
                <w:lang w:eastAsia="es-BO"/>
              </w:rPr>
            </w:pPr>
            <w:r w:rsidRPr="00F17B0C">
              <w:rPr>
                <w:rFonts w:ascii="Suprema" w:hAnsi="Suprema"/>
                <w:sz w:val="20"/>
                <w:szCs w:val="20"/>
              </w:rPr>
              <w:t>Desde esta perspectiva, el estudiante se forma para planificar, producir y analizar mensajes audiovisuales considerando siempre la intención comunicacional, la audiencia y el contexto sociocultural. La asignatura articula teoría del lenguaje audiovisual con ejercicios prácticos que simulan dinámicas reales de la industria, favoreciendo un aprendizaje significativo y aplicado.</w:t>
            </w:r>
          </w:p>
        </w:tc>
      </w:tr>
      <w:tr w:rsidR="00A36B16" w:rsidRPr="00F17B0C" w14:paraId="75085C22" w14:textId="77777777" w:rsidTr="00A56EF4">
        <w:tc>
          <w:tcPr>
            <w:tcW w:w="1760" w:type="pct"/>
            <w:shd w:val="clear" w:color="auto" w:fill="E2EFD9" w:themeFill="accent6" w:themeFillTint="33"/>
            <w:hideMark/>
          </w:tcPr>
          <w:p w14:paraId="5114D94A" w14:textId="77777777" w:rsidR="00A36B16" w:rsidRPr="00F17B0C" w:rsidRDefault="00A36B16" w:rsidP="00A56EF4">
            <w:pPr>
              <w:rPr>
                <w:rFonts w:ascii="Suprema" w:eastAsia="Times New Roman" w:hAnsi="Suprema" w:cs="Times New Roman"/>
                <w:sz w:val="20"/>
                <w:szCs w:val="20"/>
                <w:lang w:eastAsia="es-BO"/>
              </w:rPr>
            </w:pPr>
            <w:r w:rsidRPr="00F17B0C">
              <w:rPr>
                <w:rFonts w:ascii="Suprema" w:eastAsia="Times New Roman" w:hAnsi="Suprema" w:cs="Times New Roman"/>
                <w:b/>
                <w:bCs/>
                <w:sz w:val="20"/>
                <w:szCs w:val="20"/>
                <w:lang w:eastAsia="es-BO"/>
              </w:rPr>
              <w:t>Temas clave que se abordarán en todo el semestre:</w:t>
            </w:r>
          </w:p>
        </w:tc>
        <w:tc>
          <w:tcPr>
            <w:tcW w:w="3240" w:type="pct"/>
            <w:hideMark/>
          </w:tcPr>
          <w:p w14:paraId="27E0C593" w14:textId="609C6567" w:rsidR="00A36B16" w:rsidRPr="00F17B0C" w:rsidRDefault="00F17B0C" w:rsidP="00A56EF4">
            <w:pPr>
              <w:rPr>
                <w:rFonts w:ascii="Suprema" w:eastAsia="Times New Roman" w:hAnsi="Suprema" w:cs="Times New Roman"/>
                <w:sz w:val="20"/>
                <w:szCs w:val="20"/>
                <w:lang w:eastAsia="es-BO"/>
              </w:rPr>
            </w:pPr>
            <w:r w:rsidRPr="00F17B0C">
              <w:rPr>
                <w:rFonts w:ascii="Suprema" w:hAnsi="Suprema"/>
                <w:sz w:val="20"/>
                <w:szCs w:val="20"/>
              </w:rPr>
              <w:t xml:space="preserve">Durante el semestre se estudiarán los fundamentos del lenguaje audiovisual </w:t>
            </w:r>
            <w:r>
              <w:rPr>
                <w:rFonts w:ascii="Suprema" w:hAnsi="Suprema"/>
                <w:sz w:val="20"/>
                <w:szCs w:val="20"/>
              </w:rPr>
              <w:t xml:space="preserve">los </w:t>
            </w:r>
            <w:r w:rsidRPr="00F17B0C">
              <w:rPr>
                <w:rFonts w:ascii="Suprema" w:hAnsi="Suprema"/>
                <w:sz w:val="20"/>
                <w:szCs w:val="20"/>
              </w:rPr>
              <w:t>plano</w:t>
            </w:r>
            <w:r>
              <w:rPr>
                <w:rFonts w:ascii="Suprema" w:hAnsi="Suprema"/>
                <w:sz w:val="20"/>
                <w:szCs w:val="20"/>
              </w:rPr>
              <w:t>s</w:t>
            </w:r>
            <w:r w:rsidRPr="00F17B0C">
              <w:rPr>
                <w:rFonts w:ascii="Suprema" w:hAnsi="Suprema"/>
                <w:sz w:val="20"/>
                <w:szCs w:val="20"/>
              </w:rPr>
              <w:t>, encuadre</w:t>
            </w:r>
            <w:r>
              <w:rPr>
                <w:rFonts w:ascii="Suprema" w:hAnsi="Suprema"/>
                <w:sz w:val="20"/>
                <w:szCs w:val="20"/>
              </w:rPr>
              <w:t>s</w:t>
            </w:r>
            <w:r w:rsidRPr="00F17B0C">
              <w:rPr>
                <w:rFonts w:ascii="Suprema" w:hAnsi="Suprema"/>
                <w:sz w:val="20"/>
                <w:szCs w:val="20"/>
              </w:rPr>
              <w:t xml:space="preserve">, composición, movimiento de cámara, iluminación y sonido y su función </w:t>
            </w:r>
            <w:proofErr w:type="gramStart"/>
            <w:r w:rsidRPr="00F17B0C">
              <w:rPr>
                <w:rFonts w:ascii="Suprema" w:hAnsi="Suprema"/>
                <w:sz w:val="20"/>
                <w:szCs w:val="20"/>
              </w:rPr>
              <w:t>narrativa</w:t>
            </w:r>
            <w:proofErr w:type="gramEnd"/>
            <w:r>
              <w:rPr>
                <w:rFonts w:ascii="Suprema" w:hAnsi="Suprema"/>
                <w:sz w:val="20"/>
                <w:szCs w:val="20"/>
              </w:rPr>
              <w:t xml:space="preserve"> sobre todo</w:t>
            </w:r>
            <w:r w:rsidRPr="00F17B0C">
              <w:rPr>
                <w:rFonts w:ascii="Suprema" w:hAnsi="Suprema"/>
                <w:sz w:val="20"/>
                <w:szCs w:val="20"/>
              </w:rPr>
              <w:t xml:space="preserve">. Se trabajará la construcción de relatos audiovisuales mediante idea, </w:t>
            </w:r>
            <w:proofErr w:type="spellStart"/>
            <w:r w:rsidRPr="00F17B0C">
              <w:rPr>
                <w:rFonts w:ascii="Suprema" w:hAnsi="Suprema"/>
                <w:sz w:val="20"/>
                <w:szCs w:val="20"/>
              </w:rPr>
              <w:t>logline</w:t>
            </w:r>
            <w:proofErr w:type="spellEnd"/>
            <w:r w:rsidRPr="00F17B0C">
              <w:rPr>
                <w:rFonts w:ascii="Suprema" w:hAnsi="Suprema"/>
                <w:sz w:val="20"/>
                <w:szCs w:val="20"/>
              </w:rPr>
              <w:t xml:space="preserve">, guion y </w:t>
            </w:r>
            <w:proofErr w:type="spellStart"/>
            <w:r w:rsidRPr="00F17B0C">
              <w:rPr>
                <w:rFonts w:ascii="Suprema" w:hAnsi="Suprema"/>
                <w:sz w:val="20"/>
                <w:szCs w:val="20"/>
              </w:rPr>
              <w:t>storytelling</w:t>
            </w:r>
            <w:proofErr w:type="spellEnd"/>
            <w:r w:rsidRPr="00F17B0C">
              <w:rPr>
                <w:rFonts w:ascii="Suprema" w:hAnsi="Suprema"/>
                <w:sz w:val="20"/>
                <w:szCs w:val="20"/>
              </w:rPr>
              <w:t>. Se analizarán las etapas del proceso de producción (preproducción, rodaje y postproducción), el montaje como herramienta de sentido, el diseño sonoro y la música como recursos expresivos. Además, se abordarán formatos contemporáneos, ética profesional, derechos de autor y el impacto de las nuevas tecnologías en la comunicación audiovisual.</w:t>
            </w:r>
          </w:p>
        </w:tc>
      </w:tr>
      <w:tr w:rsidR="00A36B16" w:rsidRPr="00F17B0C" w14:paraId="54EBFFE2" w14:textId="77777777" w:rsidTr="00A56EF4">
        <w:tc>
          <w:tcPr>
            <w:tcW w:w="5000" w:type="pct"/>
            <w:gridSpan w:val="2"/>
            <w:shd w:val="clear" w:color="auto" w:fill="A8D08D" w:themeFill="accent6" w:themeFillTint="99"/>
            <w:hideMark/>
          </w:tcPr>
          <w:p w14:paraId="5CC38C58" w14:textId="77777777" w:rsidR="00A36B16" w:rsidRPr="00F17B0C" w:rsidRDefault="00A36B16" w:rsidP="00A56EF4">
            <w:pPr>
              <w:rPr>
                <w:rFonts w:ascii="Suprema" w:eastAsia="Times New Roman" w:hAnsi="Suprema" w:cs="Times New Roman"/>
                <w:sz w:val="20"/>
                <w:szCs w:val="20"/>
                <w:lang w:eastAsia="es-BO"/>
              </w:rPr>
            </w:pPr>
            <w:r w:rsidRPr="00F17B0C">
              <w:rPr>
                <w:rFonts w:ascii="Suprema" w:eastAsia="Times New Roman" w:hAnsi="Suprema" w:cs="Times New Roman"/>
                <w:b/>
                <w:bCs/>
                <w:sz w:val="20"/>
                <w:szCs w:val="20"/>
                <w:lang w:eastAsia="es-BO"/>
              </w:rPr>
              <w:t>3. Importancia de la asignatura</w:t>
            </w:r>
          </w:p>
        </w:tc>
      </w:tr>
      <w:tr w:rsidR="00A36B16" w:rsidRPr="00F17B0C" w14:paraId="63AC7747" w14:textId="77777777" w:rsidTr="00A56EF4">
        <w:tc>
          <w:tcPr>
            <w:tcW w:w="1760" w:type="pct"/>
            <w:shd w:val="clear" w:color="auto" w:fill="E2EFD9" w:themeFill="accent6" w:themeFillTint="33"/>
            <w:hideMark/>
          </w:tcPr>
          <w:p w14:paraId="7CC45ADD" w14:textId="77777777" w:rsidR="00A36B16" w:rsidRPr="00F17B0C" w:rsidRDefault="00A36B16" w:rsidP="00A56EF4">
            <w:pPr>
              <w:rPr>
                <w:rFonts w:ascii="Suprema" w:eastAsia="Times New Roman" w:hAnsi="Suprema" w:cs="Times New Roman"/>
                <w:sz w:val="20"/>
                <w:szCs w:val="20"/>
                <w:lang w:eastAsia="es-BO"/>
              </w:rPr>
            </w:pPr>
            <w:r w:rsidRPr="00F17B0C">
              <w:rPr>
                <w:rFonts w:ascii="Suprema" w:eastAsia="Times New Roman" w:hAnsi="Suprema" w:cs="Times New Roman"/>
                <w:b/>
                <w:bCs/>
                <w:sz w:val="20"/>
                <w:szCs w:val="20"/>
                <w:lang w:eastAsia="es-BO"/>
              </w:rPr>
              <w:t>¿Por qué es fundamental en la formación del estudiante?</w:t>
            </w:r>
          </w:p>
        </w:tc>
        <w:tc>
          <w:tcPr>
            <w:tcW w:w="3240" w:type="pct"/>
            <w:hideMark/>
          </w:tcPr>
          <w:p w14:paraId="391E0744" w14:textId="77777777" w:rsidR="00F17B0C" w:rsidRPr="00F17B0C" w:rsidRDefault="00F17B0C" w:rsidP="00F17B0C">
            <w:pPr>
              <w:rPr>
                <w:rFonts w:ascii="Suprema" w:eastAsia="Times New Roman" w:hAnsi="Suprema" w:cs="Times New Roman"/>
                <w:sz w:val="20"/>
                <w:szCs w:val="20"/>
                <w:lang w:eastAsia="es-BO"/>
              </w:rPr>
            </w:pPr>
            <w:r w:rsidRPr="00F17B0C">
              <w:rPr>
                <w:rFonts w:ascii="Suprema" w:eastAsia="Times New Roman" w:hAnsi="Suprema" w:cs="Times New Roman"/>
                <w:sz w:val="20"/>
                <w:szCs w:val="20"/>
                <w:lang w:eastAsia="es-BO"/>
              </w:rPr>
              <w:t xml:space="preserve">En un entorno saturado de imágenes y sonidos, la alfabetización audiovisual es una competencia esencial. Esta asignatura permite al estudiante desarrollar la capacidad de interpretar críticamente </w:t>
            </w:r>
            <w:r w:rsidRPr="00F17B0C">
              <w:rPr>
                <w:rFonts w:ascii="Suprema" w:eastAsia="Times New Roman" w:hAnsi="Suprema" w:cs="Times New Roman"/>
                <w:sz w:val="20"/>
                <w:szCs w:val="20"/>
                <w:lang w:eastAsia="es-BO"/>
              </w:rPr>
              <w:lastRenderedPageBreak/>
              <w:t>los mensajes que consume y, al mismo tiempo, producir contenidos con intención, coherencia y responsabilidad. Desde la experiencia en el ámbito profesional, es evidente que quienes dominan el lenguaje audiovisual no solo comunican mejor, sino que piensan de manera más estructurada, estratégica y creativa.</w:t>
            </w:r>
          </w:p>
          <w:p w14:paraId="13DEC15B" w14:textId="215EAE57" w:rsidR="00A36B16" w:rsidRPr="00F17B0C" w:rsidRDefault="00F17B0C" w:rsidP="00F17B0C">
            <w:pPr>
              <w:rPr>
                <w:rFonts w:ascii="Suprema" w:eastAsia="Times New Roman" w:hAnsi="Suprema" w:cs="Times New Roman"/>
                <w:sz w:val="20"/>
                <w:szCs w:val="20"/>
                <w:lang w:eastAsia="es-BO"/>
              </w:rPr>
            </w:pPr>
            <w:r w:rsidRPr="00F17B0C">
              <w:rPr>
                <w:rFonts w:ascii="Suprema" w:eastAsia="Times New Roman" w:hAnsi="Suprema" w:cs="Times New Roman"/>
                <w:sz w:val="20"/>
                <w:szCs w:val="20"/>
                <w:lang w:eastAsia="es-BO"/>
              </w:rPr>
              <w:t>La comunicación audiovisual fortalece habilidades transversales como el pensamiento crítico, la sensibilidad estética, la capacidad de síntesis y la toma de decisiones. Estas competencias resultan fundamentales no solo para carreras vinculadas a los medios, sino para cualquier disciplina que requiera comunicar ideas, proyectos o valores en formatos visuales y digitales.</w:t>
            </w:r>
          </w:p>
        </w:tc>
      </w:tr>
      <w:tr w:rsidR="00A36B16" w:rsidRPr="00F17B0C" w14:paraId="4DA12F6A" w14:textId="77777777" w:rsidTr="00A56EF4">
        <w:tc>
          <w:tcPr>
            <w:tcW w:w="1760" w:type="pct"/>
            <w:shd w:val="clear" w:color="auto" w:fill="E2EFD9" w:themeFill="accent6" w:themeFillTint="33"/>
            <w:hideMark/>
          </w:tcPr>
          <w:p w14:paraId="6A68D9F9" w14:textId="77777777" w:rsidR="00A36B16" w:rsidRPr="00F17B0C" w:rsidRDefault="00A36B16" w:rsidP="00A56EF4">
            <w:pPr>
              <w:rPr>
                <w:rFonts w:ascii="Suprema" w:eastAsia="Times New Roman" w:hAnsi="Suprema" w:cs="Times New Roman"/>
                <w:sz w:val="20"/>
                <w:szCs w:val="20"/>
                <w:lang w:eastAsia="es-BO"/>
              </w:rPr>
            </w:pPr>
            <w:r w:rsidRPr="00F17B0C">
              <w:rPr>
                <w:rFonts w:ascii="Suprema" w:eastAsia="Times New Roman" w:hAnsi="Suprema" w:cs="Times New Roman"/>
                <w:b/>
                <w:bCs/>
                <w:sz w:val="20"/>
                <w:szCs w:val="20"/>
                <w:lang w:eastAsia="es-BO"/>
              </w:rPr>
              <w:lastRenderedPageBreak/>
              <w:t>¿Cómo se aplica en el mundo profesional?</w:t>
            </w:r>
          </w:p>
        </w:tc>
        <w:tc>
          <w:tcPr>
            <w:tcW w:w="3240" w:type="pct"/>
            <w:hideMark/>
          </w:tcPr>
          <w:p w14:paraId="05BA86AE" w14:textId="77777777" w:rsidR="00F17B0C" w:rsidRPr="00F17B0C" w:rsidRDefault="00F17B0C" w:rsidP="00F17B0C">
            <w:pPr>
              <w:rPr>
                <w:rFonts w:ascii="Suprema" w:eastAsia="Times New Roman" w:hAnsi="Suprema" w:cs="Times New Roman"/>
                <w:sz w:val="20"/>
                <w:szCs w:val="20"/>
                <w:lang w:eastAsia="es-BO"/>
              </w:rPr>
            </w:pPr>
            <w:r w:rsidRPr="00F17B0C">
              <w:rPr>
                <w:rFonts w:ascii="Suprema" w:eastAsia="Times New Roman" w:hAnsi="Suprema" w:cs="Times New Roman"/>
                <w:sz w:val="20"/>
                <w:szCs w:val="20"/>
                <w:lang w:eastAsia="es-BO"/>
              </w:rPr>
              <w:t>En el ámbito profesional, los conocimientos adquiridos se aplican directamente en la producción de contenidos audiovisuales para redes sociales, plataformas digitales, campañas publicitarias e institucionales, donde es clave comprender tiempos, formatos, narrativa y audiencia. Asimismo, la asignatura prepara al estudiante para el trabajo colaborativo en equipos de producción, entendiendo los roles reales de la industria y la importancia de la planificación y la comunicación interna.</w:t>
            </w:r>
          </w:p>
          <w:p w14:paraId="5FCD6626" w14:textId="77777777" w:rsidR="00F17B0C" w:rsidRPr="00F17B0C" w:rsidRDefault="00F17B0C" w:rsidP="00F17B0C">
            <w:pPr>
              <w:rPr>
                <w:rFonts w:ascii="Suprema" w:eastAsia="Times New Roman" w:hAnsi="Suprema" w:cs="Times New Roman"/>
                <w:sz w:val="20"/>
                <w:szCs w:val="20"/>
                <w:lang w:eastAsia="es-BO"/>
              </w:rPr>
            </w:pPr>
          </w:p>
          <w:p w14:paraId="537F16F9" w14:textId="65D4AEB2" w:rsidR="00A36B16" w:rsidRPr="00F17B0C" w:rsidRDefault="00F17B0C" w:rsidP="00F17B0C">
            <w:pPr>
              <w:rPr>
                <w:rFonts w:ascii="Suprema" w:eastAsia="Times New Roman" w:hAnsi="Suprema" w:cs="Times New Roman"/>
                <w:sz w:val="20"/>
                <w:szCs w:val="20"/>
                <w:lang w:eastAsia="es-BO"/>
              </w:rPr>
            </w:pPr>
            <w:r w:rsidRPr="00F17B0C">
              <w:rPr>
                <w:rFonts w:ascii="Suprema" w:eastAsia="Times New Roman" w:hAnsi="Suprema" w:cs="Times New Roman"/>
                <w:sz w:val="20"/>
                <w:szCs w:val="20"/>
                <w:lang w:eastAsia="es-BO"/>
              </w:rPr>
              <w:t>En postproducción, los estudiantes adquieren criterio para tomar decisiones narrativas a través del montaje, el ritmo y el sonido, comprendiendo que editar no es solo unir planos, sino construir sentido. Finalmente, la capacidad de analizar y evaluar piezas audiovisuales permite mejorar proyectos propios y ajenos, optimizando su claridad, impacto y efectividad comunicacional.</w:t>
            </w:r>
          </w:p>
        </w:tc>
      </w:tr>
      <w:tr w:rsidR="00A36B16" w:rsidRPr="00F17B0C" w14:paraId="3CF29829" w14:textId="77777777" w:rsidTr="00A56EF4">
        <w:tc>
          <w:tcPr>
            <w:tcW w:w="5000" w:type="pct"/>
            <w:gridSpan w:val="2"/>
            <w:shd w:val="clear" w:color="auto" w:fill="A8D08D" w:themeFill="accent6" w:themeFillTint="99"/>
            <w:hideMark/>
          </w:tcPr>
          <w:p w14:paraId="3BA4D0FF" w14:textId="77777777" w:rsidR="00A36B16" w:rsidRPr="00F17B0C" w:rsidRDefault="00A36B16" w:rsidP="00A56EF4">
            <w:pPr>
              <w:rPr>
                <w:rFonts w:ascii="Suprema" w:eastAsia="Times New Roman" w:hAnsi="Suprema" w:cs="Times New Roman"/>
                <w:sz w:val="20"/>
                <w:szCs w:val="20"/>
                <w:lang w:eastAsia="es-BO"/>
              </w:rPr>
            </w:pPr>
            <w:r w:rsidRPr="00F17B0C">
              <w:rPr>
                <w:rFonts w:ascii="Suprema" w:eastAsia="Times New Roman" w:hAnsi="Suprema" w:cs="Times New Roman"/>
                <w:b/>
                <w:bCs/>
                <w:sz w:val="20"/>
                <w:szCs w:val="20"/>
                <w:lang w:eastAsia="es-BO"/>
              </w:rPr>
              <w:t>4. Habilidades adquiridas</w:t>
            </w:r>
          </w:p>
        </w:tc>
      </w:tr>
      <w:tr w:rsidR="00A36B16" w:rsidRPr="00F17B0C" w14:paraId="22C0E77A" w14:textId="77777777" w:rsidTr="00A56EF4">
        <w:tc>
          <w:tcPr>
            <w:tcW w:w="1760" w:type="pct"/>
            <w:shd w:val="clear" w:color="auto" w:fill="E2EFD9" w:themeFill="accent6" w:themeFillTint="33"/>
            <w:hideMark/>
          </w:tcPr>
          <w:p w14:paraId="41C42859" w14:textId="77777777" w:rsidR="00A36B16" w:rsidRPr="00F17B0C" w:rsidRDefault="00A36B16" w:rsidP="00A56EF4">
            <w:pPr>
              <w:rPr>
                <w:rFonts w:ascii="Suprema" w:eastAsia="Times New Roman" w:hAnsi="Suprema" w:cs="Times New Roman"/>
                <w:sz w:val="20"/>
                <w:szCs w:val="20"/>
                <w:lang w:eastAsia="es-BO"/>
              </w:rPr>
            </w:pPr>
            <w:r w:rsidRPr="00F17B0C">
              <w:rPr>
                <w:rFonts w:ascii="Suprema" w:eastAsia="Times New Roman" w:hAnsi="Suprema" w:cs="Times New Roman"/>
                <w:b/>
                <w:bCs/>
                <w:sz w:val="20"/>
                <w:szCs w:val="20"/>
                <w:lang w:eastAsia="es-BO"/>
              </w:rPr>
              <w:t>Competencias clave que los estudiantes desarrollarán:</w:t>
            </w:r>
          </w:p>
        </w:tc>
        <w:tc>
          <w:tcPr>
            <w:tcW w:w="3240" w:type="pct"/>
            <w:hideMark/>
          </w:tcPr>
          <w:p w14:paraId="678F309B" w14:textId="1C579F88" w:rsidR="001F1263" w:rsidRPr="001F1263" w:rsidRDefault="001F1263" w:rsidP="001F1263">
            <w:pPr>
              <w:rPr>
                <w:rFonts w:ascii="Suprema" w:eastAsia="Times New Roman" w:hAnsi="Suprema" w:cs="Times New Roman"/>
                <w:sz w:val="20"/>
                <w:szCs w:val="20"/>
                <w:lang w:eastAsia="es-BO"/>
              </w:rPr>
            </w:pPr>
            <w:r w:rsidRPr="001F1263">
              <w:rPr>
                <w:rFonts w:ascii="Suprema" w:eastAsia="Times New Roman" w:hAnsi="Suprema" w:cs="Times New Roman"/>
                <w:sz w:val="20"/>
                <w:szCs w:val="20"/>
                <w:lang w:eastAsia="es-BO"/>
              </w:rPr>
              <w:t>A lo largo de</w:t>
            </w:r>
            <w:r>
              <w:rPr>
                <w:rFonts w:ascii="Suprema" w:eastAsia="Times New Roman" w:hAnsi="Suprema" w:cs="Times New Roman"/>
                <w:sz w:val="20"/>
                <w:szCs w:val="20"/>
                <w:lang w:eastAsia="es-BO"/>
              </w:rPr>
              <w:t xml:space="preserve"> la asignatura</w:t>
            </w:r>
            <w:r w:rsidRPr="001F1263">
              <w:rPr>
                <w:rFonts w:ascii="Suprema" w:eastAsia="Times New Roman" w:hAnsi="Suprema" w:cs="Times New Roman"/>
                <w:sz w:val="20"/>
                <w:szCs w:val="20"/>
                <w:lang w:eastAsia="es-BO"/>
              </w:rPr>
              <w:t>, el estudiante desarrollará una lectura crítica del lenguaje audiovisual, comprendiendo cómo imagen, sonido y montaje interactúan para generar significado. Adquirirá competencias básicas de escritura de guion y construcción narrativa, aplicables a distintos formatos y plataformas. También aprenderá a planificar proyectos audiovisuales considerando objetivos comunicacionales, audiencia, recursos y tiempos reales de producción.</w:t>
            </w:r>
          </w:p>
          <w:p w14:paraId="7B48918E" w14:textId="77777777" w:rsidR="001F1263" w:rsidRPr="001F1263" w:rsidRDefault="001F1263" w:rsidP="001F1263">
            <w:pPr>
              <w:rPr>
                <w:rFonts w:ascii="Suprema" w:eastAsia="Times New Roman" w:hAnsi="Suprema" w:cs="Times New Roman"/>
                <w:sz w:val="20"/>
                <w:szCs w:val="20"/>
                <w:lang w:eastAsia="es-BO"/>
              </w:rPr>
            </w:pPr>
          </w:p>
          <w:p w14:paraId="1D4CB4CD" w14:textId="2A050054" w:rsidR="00A36B16" w:rsidRPr="00F17B0C" w:rsidRDefault="001F1263" w:rsidP="001F1263">
            <w:pPr>
              <w:rPr>
                <w:rFonts w:ascii="Suprema" w:eastAsia="Times New Roman" w:hAnsi="Suprema" w:cs="Times New Roman"/>
                <w:sz w:val="20"/>
                <w:szCs w:val="20"/>
                <w:lang w:eastAsia="es-BO"/>
              </w:rPr>
            </w:pPr>
            <w:r w:rsidRPr="001F1263">
              <w:rPr>
                <w:rFonts w:ascii="Suprema" w:eastAsia="Times New Roman" w:hAnsi="Suprema" w:cs="Times New Roman"/>
                <w:sz w:val="20"/>
                <w:szCs w:val="20"/>
                <w:lang w:eastAsia="es-BO"/>
              </w:rPr>
              <w:t>Asimismo, se fortalecerá la comprensión del flujo de trabajo audiovisual completo, desde la idea inicial hasta el producto final, promoviendo el trabajo colaborativo y la comunicación efectiva en equipos creativos. Finalmente, se incorporará un criterio ético y profesional, relacionado con los derechos de autor, el uso responsable de materiales y la coherencia entre mensaje, intención y efecto social.</w:t>
            </w:r>
          </w:p>
        </w:tc>
      </w:tr>
      <w:tr w:rsidR="00A36B16" w:rsidRPr="00F17B0C" w14:paraId="20691B56" w14:textId="77777777" w:rsidTr="00A56EF4">
        <w:tc>
          <w:tcPr>
            <w:tcW w:w="5000" w:type="pct"/>
            <w:gridSpan w:val="2"/>
            <w:shd w:val="clear" w:color="auto" w:fill="A8D08D" w:themeFill="accent6" w:themeFillTint="99"/>
            <w:hideMark/>
          </w:tcPr>
          <w:p w14:paraId="5D7D0657" w14:textId="77777777" w:rsidR="00A36B16" w:rsidRPr="00F17B0C" w:rsidRDefault="00A36B16" w:rsidP="00A56EF4">
            <w:pPr>
              <w:rPr>
                <w:rFonts w:ascii="Suprema" w:eastAsia="Times New Roman" w:hAnsi="Suprema" w:cs="Times New Roman"/>
                <w:sz w:val="20"/>
                <w:szCs w:val="20"/>
                <w:lang w:eastAsia="es-BO"/>
              </w:rPr>
            </w:pPr>
            <w:r w:rsidRPr="00F17B0C">
              <w:rPr>
                <w:rFonts w:ascii="Suprema" w:eastAsia="Times New Roman" w:hAnsi="Suprema" w:cs="Times New Roman"/>
                <w:b/>
                <w:bCs/>
                <w:sz w:val="20"/>
                <w:szCs w:val="20"/>
                <w:lang w:eastAsia="es-BO"/>
              </w:rPr>
              <w:t>5. Despedida</w:t>
            </w:r>
          </w:p>
        </w:tc>
      </w:tr>
      <w:tr w:rsidR="00A36B16" w:rsidRPr="00F17B0C" w14:paraId="7A2AFDAA" w14:textId="77777777" w:rsidTr="00A56EF4">
        <w:tc>
          <w:tcPr>
            <w:tcW w:w="1760" w:type="pct"/>
            <w:shd w:val="clear" w:color="auto" w:fill="E2EFD9" w:themeFill="accent6" w:themeFillTint="33"/>
            <w:hideMark/>
          </w:tcPr>
          <w:p w14:paraId="7B4A8303" w14:textId="77777777" w:rsidR="00A36B16" w:rsidRPr="00F17B0C" w:rsidRDefault="00A36B16" w:rsidP="00A56EF4">
            <w:pPr>
              <w:rPr>
                <w:rFonts w:ascii="Suprema" w:eastAsia="Times New Roman" w:hAnsi="Suprema" w:cs="Times New Roman"/>
                <w:sz w:val="20"/>
                <w:szCs w:val="20"/>
                <w:lang w:eastAsia="es-BO"/>
              </w:rPr>
            </w:pPr>
            <w:r w:rsidRPr="00F17B0C">
              <w:rPr>
                <w:rFonts w:ascii="Suprema" w:eastAsia="Times New Roman" w:hAnsi="Suprema" w:cs="Times New Roman"/>
                <w:b/>
                <w:bCs/>
                <w:sz w:val="20"/>
                <w:szCs w:val="20"/>
                <w:lang w:eastAsia="es-BO"/>
              </w:rPr>
              <w:t>Mensaje final de motivación (opcional):</w:t>
            </w:r>
          </w:p>
        </w:tc>
        <w:tc>
          <w:tcPr>
            <w:tcW w:w="3240" w:type="pct"/>
            <w:hideMark/>
          </w:tcPr>
          <w:p w14:paraId="749102F2" w14:textId="26B12687" w:rsidR="00A36B16" w:rsidRPr="00F17B0C" w:rsidRDefault="001F1263" w:rsidP="00A56EF4">
            <w:pPr>
              <w:rPr>
                <w:rFonts w:ascii="Suprema" w:eastAsia="Times New Roman" w:hAnsi="Suprema" w:cs="Times New Roman"/>
                <w:sz w:val="20"/>
                <w:szCs w:val="20"/>
                <w:lang w:eastAsia="es-BO"/>
              </w:rPr>
            </w:pPr>
            <w:r w:rsidRPr="001F1263">
              <w:rPr>
                <w:rFonts w:ascii="Suprema" w:eastAsia="Times New Roman" w:hAnsi="Suprema" w:cs="Times New Roman"/>
                <w:sz w:val="20"/>
                <w:szCs w:val="20"/>
                <w:lang w:eastAsia="es-BO"/>
              </w:rPr>
              <w:t xml:space="preserve">Como señala Michel </w:t>
            </w:r>
            <w:proofErr w:type="spellStart"/>
            <w:r w:rsidRPr="001F1263">
              <w:rPr>
                <w:rFonts w:ascii="Suprema" w:eastAsia="Times New Roman" w:hAnsi="Suprema" w:cs="Times New Roman"/>
                <w:sz w:val="20"/>
                <w:szCs w:val="20"/>
                <w:lang w:eastAsia="es-BO"/>
              </w:rPr>
              <w:t>Chion</w:t>
            </w:r>
            <w:proofErr w:type="spellEnd"/>
            <w:r w:rsidRPr="001F1263">
              <w:rPr>
                <w:rFonts w:ascii="Suprema" w:eastAsia="Times New Roman" w:hAnsi="Suprema" w:cs="Times New Roman"/>
                <w:sz w:val="20"/>
                <w:szCs w:val="20"/>
                <w:lang w:eastAsia="es-BO"/>
              </w:rPr>
              <w:t xml:space="preserve">, uno de los principales teóricos del sonido y la imagen, “el audiovisual no suma </w:t>
            </w:r>
            <w:r w:rsidRPr="001F1263">
              <w:rPr>
                <w:rFonts w:ascii="Suprema" w:eastAsia="Times New Roman" w:hAnsi="Suprema" w:cs="Times New Roman"/>
                <w:sz w:val="20"/>
                <w:szCs w:val="20"/>
                <w:lang w:eastAsia="es-BO"/>
              </w:rPr>
              <w:lastRenderedPageBreak/>
              <w:t>imagen y sonido</w:t>
            </w:r>
            <w:r>
              <w:rPr>
                <w:rFonts w:ascii="Suprema" w:eastAsia="Times New Roman" w:hAnsi="Suprema" w:cs="Times New Roman"/>
                <w:sz w:val="20"/>
                <w:szCs w:val="20"/>
                <w:lang w:eastAsia="es-BO"/>
              </w:rPr>
              <w:t xml:space="preserve"> y</w:t>
            </w:r>
            <w:r w:rsidRPr="001F1263">
              <w:rPr>
                <w:rFonts w:ascii="Suprema" w:eastAsia="Times New Roman" w:hAnsi="Suprema" w:cs="Times New Roman"/>
                <w:sz w:val="20"/>
                <w:szCs w:val="20"/>
                <w:lang w:eastAsia="es-BO"/>
              </w:rPr>
              <w:t xml:space="preserve"> los transforma mutuamente”. Aprender comunicación audiovisual implica comprender esa transformación, pensar con imágenes y sonidos, y asumir la responsabilidad de crear mensajes que no solo se vean y se escuchen bien, sino que tengan sentido, profundidad y propósito.</w:t>
            </w:r>
          </w:p>
        </w:tc>
      </w:tr>
    </w:tbl>
    <w:p w14:paraId="5E52576B" w14:textId="77777777" w:rsidR="00A36B16" w:rsidRPr="00F17B0C" w:rsidRDefault="00A36B16" w:rsidP="00A36B16">
      <w:pPr>
        <w:rPr>
          <w:rFonts w:ascii="Suprema" w:hAnsi="Suprema"/>
          <w:sz w:val="20"/>
          <w:szCs w:val="20"/>
        </w:rPr>
      </w:pPr>
    </w:p>
    <w:p w14:paraId="17F09D08" w14:textId="77777777" w:rsidR="00A36B16" w:rsidRPr="00F17B0C" w:rsidRDefault="00A36B16" w:rsidP="00A36B16">
      <w:pPr>
        <w:rPr>
          <w:rFonts w:ascii="Suprema" w:hAnsi="Suprema"/>
          <w:sz w:val="20"/>
          <w:szCs w:val="20"/>
        </w:rPr>
      </w:pPr>
      <w:r w:rsidRPr="00F17B0C">
        <w:rPr>
          <w:rFonts w:ascii="Suprema" w:hAnsi="Suprema"/>
          <w:sz w:val="20"/>
          <w:szCs w:val="20"/>
        </w:rPr>
        <w:br w:type="page"/>
      </w:r>
    </w:p>
    <w:tbl>
      <w:tblPr>
        <w:tblStyle w:val="Tablaconcuadrcula"/>
        <w:tblW w:w="0" w:type="auto"/>
        <w:tblLook w:val="04A0" w:firstRow="1" w:lastRow="0" w:firstColumn="1" w:lastColumn="0" w:noHBand="0" w:noVBand="1"/>
      </w:tblPr>
      <w:tblGrid>
        <w:gridCol w:w="3049"/>
        <w:gridCol w:w="5445"/>
      </w:tblGrid>
      <w:tr w:rsidR="00A36B16" w:rsidRPr="00F17B0C" w14:paraId="13593400" w14:textId="77777777" w:rsidTr="00A36B16">
        <w:tc>
          <w:tcPr>
            <w:tcW w:w="8494" w:type="dxa"/>
            <w:gridSpan w:val="2"/>
            <w:shd w:val="clear" w:color="auto" w:fill="833C0B" w:themeFill="accent2" w:themeFillShade="80"/>
            <w:hideMark/>
          </w:tcPr>
          <w:p w14:paraId="3B890A34" w14:textId="5F8EF3C9" w:rsidR="00A36B16" w:rsidRPr="00F17B0C" w:rsidRDefault="00725544" w:rsidP="00A56EF4">
            <w:pPr>
              <w:spacing w:after="160" w:line="259" w:lineRule="auto"/>
              <w:jc w:val="center"/>
              <w:rPr>
                <w:rFonts w:ascii="Suprema" w:hAnsi="Suprema"/>
                <w:sz w:val="20"/>
                <w:szCs w:val="20"/>
              </w:rPr>
            </w:pPr>
            <w:r>
              <w:rPr>
                <w:rFonts w:ascii="Suprema" w:hAnsi="Suprema"/>
                <w:b/>
                <w:bCs/>
                <w:color w:val="FFFFFF" w:themeColor="background1"/>
                <w:sz w:val="20"/>
                <w:szCs w:val="20"/>
              </w:rPr>
              <w:lastRenderedPageBreak/>
              <w:t xml:space="preserve">EJEMPLO </w:t>
            </w:r>
            <w:r w:rsidR="00A36B16" w:rsidRPr="00F17B0C">
              <w:rPr>
                <w:rFonts w:ascii="Suprema" w:hAnsi="Suprema"/>
                <w:b/>
                <w:bCs/>
                <w:color w:val="FFFFFF" w:themeColor="background1"/>
                <w:sz w:val="20"/>
                <w:szCs w:val="20"/>
              </w:rPr>
              <w:t>GUION HITOS 2 – AVANCE</w:t>
            </w:r>
          </w:p>
        </w:tc>
      </w:tr>
      <w:tr w:rsidR="00A36B16" w:rsidRPr="00F17B0C" w14:paraId="2BE6BC09" w14:textId="77777777" w:rsidTr="00A36B16">
        <w:tc>
          <w:tcPr>
            <w:tcW w:w="8494" w:type="dxa"/>
            <w:gridSpan w:val="2"/>
            <w:shd w:val="clear" w:color="auto" w:fill="F4B083" w:themeFill="accent2" w:themeFillTint="99"/>
            <w:hideMark/>
          </w:tcPr>
          <w:p w14:paraId="602CA5EF" w14:textId="77777777" w:rsidR="00A36B16" w:rsidRPr="00F17B0C" w:rsidRDefault="00A36B16" w:rsidP="00A56EF4">
            <w:pPr>
              <w:spacing w:after="160" w:line="259" w:lineRule="auto"/>
              <w:rPr>
                <w:rFonts w:ascii="Suprema" w:hAnsi="Suprema"/>
                <w:sz w:val="20"/>
                <w:szCs w:val="20"/>
              </w:rPr>
            </w:pPr>
            <w:r w:rsidRPr="00F17B0C">
              <w:rPr>
                <w:rFonts w:ascii="Suprema" w:hAnsi="Suprema"/>
                <w:b/>
                <w:bCs/>
                <w:sz w:val="20"/>
                <w:szCs w:val="20"/>
              </w:rPr>
              <w:t>1. Bienvenida al Hito</w:t>
            </w:r>
          </w:p>
        </w:tc>
      </w:tr>
      <w:tr w:rsidR="00A36B16" w:rsidRPr="00F17B0C" w14:paraId="31306D84" w14:textId="77777777" w:rsidTr="00A36B16">
        <w:tc>
          <w:tcPr>
            <w:tcW w:w="3049" w:type="dxa"/>
            <w:shd w:val="clear" w:color="auto" w:fill="FBE4D5" w:themeFill="accent2" w:themeFillTint="33"/>
            <w:hideMark/>
          </w:tcPr>
          <w:p w14:paraId="4DC8628F" w14:textId="77777777" w:rsidR="00A36B16" w:rsidRPr="00F17B0C" w:rsidRDefault="00A36B16" w:rsidP="00A56EF4">
            <w:pPr>
              <w:spacing w:after="160" w:line="259" w:lineRule="auto"/>
              <w:rPr>
                <w:rFonts w:ascii="Suprema" w:hAnsi="Suprema"/>
                <w:sz w:val="20"/>
                <w:szCs w:val="20"/>
              </w:rPr>
            </w:pPr>
            <w:r w:rsidRPr="00F17B0C">
              <w:rPr>
                <w:rFonts w:ascii="Suprema" w:hAnsi="Suprema"/>
                <w:sz w:val="20"/>
                <w:szCs w:val="20"/>
              </w:rPr>
              <w:t>Nombre del Hito:</w:t>
            </w:r>
          </w:p>
        </w:tc>
        <w:tc>
          <w:tcPr>
            <w:tcW w:w="5445" w:type="dxa"/>
            <w:hideMark/>
          </w:tcPr>
          <w:p w14:paraId="1B79F81F" w14:textId="23204470" w:rsidR="00A36B16" w:rsidRPr="00F17B0C" w:rsidRDefault="001F1263" w:rsidP="00A56EF4">
            <w:pPr>
              <w:spacing w:after="160" w:line="259" w:lineRule="auto"/>
              <w:rPr>
                <w:rFonts w:ascii="Suprema" w:hAnsi="Suprema"/>
                <w:sz w:val="20"/>
                <w:szCs w:val="20"/>
              </w:rPr>
            </w:pPr>
            <w:r w:rsidRPr="001F1263">
              <w:rPr>
                <w:rFonts w:ascii="Suprema" w:hAnsi="Suprema"/>
                <w:sz w:val="20"/>
                <w:szCs w:val="20"/>
              </w:rPr>
              <w:t>Hito 2 – Construcción del Lenguaje Audiovisual y Sentido Narrativo</w:t>
            </w:r>
          </w:p>
        </w:tc>
      </w:tr>
      <w:tr w:rsidR="00A36B16" w:rsidRPr="00F17B0C" w14:paraId="5E289E92" w14:textId="77777777" w:rsidTr="00A36B16">
        <w:tc>
          <w:tcPr>
            <w:tcW w:w="3049" w:type="dxa"/>
            <w:shd w:val="clear" w:color="auto" w:fill="FBE4D5" w:themeFill="accent2" w:themeFillTint="33"/>
            <w:hideMark/>
          </w:tcPr>
          <w:p w14:paraId="29E639E5" w14:textId="77777777" w:rsidR="00A36B16" w:rsidRPr="00F17B0C" w:rsidRDefault="00A36B16" w:rsidP="00A56EF4">
            <w:pPr>
              <w:spacing w:after="160" w:line="259" w:lineRule="auto"/>
              <w:rPr>
                <w:rFonts w:ascii="Suprema" w:hAnsi="Suprema"/>
                <w:sz w:val="20"/>
                <w:szCs w:val="20"/>
              </w:rPr>
            </w:pPr>
            <w:r w:rsidRPr="00F17B0C">
              <w:rPr>
                <w:rFonts w:ascii="Suprema" w:hAnsi="Suprema"/>
                <w:sz w:val="20"/>
                <w:szCs w:val="20"/>
              </w:rPr>
              <w:t>Introducción breve:</w:t>
            </w:r>
          </w:p>
        </w:tc>
        <w:tc>
          <w:tcPr>
            <w:tcW w:w="5445" w:type="dxa"/>
            <w:hideMark/>
          </w:tcPr>
          <w:p w14:paraId="0047D0F9" w14:textId="2FA00E62" w:rsidR="00A36B16" w:rsidRPr="00F17B0C" w:rsidRDefault="001F1263" w:rsidP="00A56EF4">
            <w:pPr>
              <w:spacing w:after="160" w:line="259" w:lineRule="auto"/>
              <w:rPr>
                <w:rFonts w:ascii="Suprema" w:hAnsi="Suprema"/>
                <w:sz w:val="20"/>
                <w:szCs w:val="20"/>
              </w:rPr>
            </w:pPr>
            <w:r w:rsidRPr="001F1263">
              <w:rPr>
                <w:rFonts w:ascii="Suprema" w:hAnsi="Suprema"/>
                <w:sz w:val="20"/>
                <w:szCs w:val="20"/>
              </w:rPr>
              <w:t>Este segundo hito marca un momento clave en el proceso formativo, ya que el estudiante comienza a profundizar en la comprensión del lenguaje audiovisual como sistema de construcción de sentido. En esta etapa se pasa de la observación inicial del audiovisual a un análisis más consciente y a la toma de decisiones fundamentadas, entendiendo que cada elección visual y sonora responde a una intención narrativa y comunicacional concreta.</w:t>
            </w:r>
          </w:p>
        </w:tc>
      </w:tr>
      <w:tr w:rsidR="00A36B16" w:rsidRPr="00F17B0C" w14:paraId="6E47F162" w14:textId="77777777" w:rsidTr="00A36B16">
        <w:tc>
          <w:tcPr>
            <w:tcW w:w="8494" w:type="dxa"/>
            <w:gridSpan w:val="2"/>
            <w:shd w:val="clear" w:color="auto" w:fill="F4B083" w:themeFill="accent2" w:themeFillTint="99"/>
            <w:hideMark/>
          </w:tcPr>
          <w:p w14:paraId="57583722" w14:textId="77777777" w:rsidR="00A36B16" w:rsidRPr="00F17B0C" w:rsidRDefault="00A36B16" w:rsidP="00A56EF4">
            <w:pPr>
              <w:spacing w:after="160" w:line="259" w:lineRule="auto"/>
              <w:rPr>
                <w:rFonts w:ascii="Suprema" w:hAnsi="Suprema"/>
                <w:sz w:val="20"/>
                <w:szCs w:val="20"/>
              </w:rPr>
            </w:pPr>
            <w:r w:rsidRPr="00F17B0C">
              <w:rPr>
                <w:rFonts w:ascii="Suprema" w:hAnsi="Suprema"/>
                <w:b/>
                <w:bCs/>
                <w:sz w:val="20"/>
                <w:szCs w:val="20"/>
              </w:rPr>
              <w:t>2. Importancia del Hito</w:t>
            </w:r>
          </w:p>
        </w:tc>
      </w:tr>
      <w:tr w:rsidR="00A36B16" w:rsidRPr="00F17B0C" w14:paraId="32FD70A8" w14:textId="77777777" w:rsidTr="00A36B16">
        <w:tc>
          <w:tcPr>
            <w:tcW w:w="3049" w:type="dxa"/>
            <w:shd w:val="clear" w:color="auto" w:fill="FBE4D5" w:themeFill="accent2" w:themeFillTint="33"/>
            <w:hideMark/>
          </w:tcPr>
          <w:p w14:paraId="59043B3B" w14:textId="77777777" w:rsidR="00A36B16" w:rsidRPr="00F17B0C" w:rsidRDefault="00A36B16" w:rsidP="00A56EF4">
            <w:pPr>
              <w:spacing w:after="160" w:line="259" w:lineRule="auto"/>
              <w:rPr>
                <w:rFonts w:ascii="Suprema" w:hAnsi="Suprema"/>
                <w:sz w:val="20"/>
                <w:szCs w:val="20"/>
              </w:rPr>
            </w:pPr>
            <w:r w:rsidRPr="00F17B0C">
              <w:rPr>
                <w:rFonts w:ascii="Suprema" w:hAnsi="Suprema"/>
                <w:sz w:val="20"/>
                <w:szCs w:val="20"/>
              </w:rPr>
              <w:t>¿Por qué es fundamental para la formación del estudiante?</w:t>
            </w:r>
          </w:p>
        </w:tc>
        <w:tc>
          <w:tcPr>
            <w:tcW w:w="5445" w:type="dxa"/>
            <w:hideMark/>
          </w:tcPr>
          <w:p w14:paraId="0AFB6442" w14:textId="4D13F4AF" w:rsidR="00DC023D" w:rsidRPr="00DC023D" w:rsidRDefault="00DC023D" w:rsidP="00DC023D">
            <w:pPr>
              <w:spacing w:after="160" w:line="259" w:lineRule="auto"/>
              <w:rPr>
                <w:rFonts w:ascii="Suprema" w:hAnsi="Suprema"/>
                <w:sz w:val="20"/>
                <w:szCs w:val="20"/>
              </w:rPr>
            </w:pPr>
            <w:r w:rsidRPr="00DC023D">
              <w:rPr>
                <w:rFonts w:ascii="Suprema" w:hAnsi="Suprema"/>
                <w:sz w:val="20"/>
                <w:szCs w:val="20"/>
              </w:rPr>
              <w:t>Este hito es fundamental porque consolida la base conceptual que permite al estudiante dejar de ver el audiovisual como una sucesión de imágenes atractivas y comenzar a comprenderlo como un discurso estructurado. Desde la experiencia profesional, este punto de inflexión es clave</w:t>
            </w:r>
            <w:r w:rsidR="008D3BE2">
              <w:rPr>
                <w:rFonts w:ascii="Suprema" w:hAnsi="Suprema"/>
                <w:sz w:val="20"/>
                <w:szCs w:val="20"/>
              </w:rPr>
              <w:t xml:space="preserve"> que</w:t>
            </w:r>
            <w:r w:rsidRPr="00DC023D">
              <w:rPr>
                <w:rFonts w:ascii="Suprema" w:hAnsi="Suprema"/>
                <w:sz w:val="20"/>
                <w:szCs w:val="20"/>
              </w:rPr>
              <w:t xml:space="preserve"> aquí el estudiante empieza a pensar como creador y analista, reconociendo que el significado no está solo en lo que se muestra, sino en cómo, cuándo y por qué se muestra.</w:t>
            </w:r>
          </w:p>
          <w:p w14:paraId="6941E9A7" w14:textId="77777777" w:rsidR="00DC023D" w:rsidRPr="00DC023D" w:rsidRDefault="00DC023D" w:rsidP="00DC023D">
            <w:pPr>
              <w:spacing w:after="160" w:line="259" w:lineRule="auto"/>
              <w:rPr>
                <w:rFonts w:ascii="Suprema" w:hAnsi="Suprema"/>
                <w:sz w:val="20"/>
                <w:szCs w:val="20"/>
              </w:rPr>
            </w:pPr>
            <w:r w:rsidRPr="00DC023D">
              <w:rPr>
                <w:rFonts w:ascii="Suprema" w:hAnsi="Suprema"/>
                <w:sz w:val="20"/>
                <w:szCs w:val="20"/>
              </w:rPr>
              <w:t>Además, este hito fortalece la capacidad de análisis crítico, indispensable en un entorno profesional donde se producen y consumen contenidos audiovisuales de manera constante. Comprender el lenguaje audiovisual en profundidad permite no solo crear mejores piezas, sino también evaluar su impacto, coherencia y responsabilidad comunicacional.</w:t>
            </w:r>
          </w:p>
          <w:p w14:paraId="12611F60" w14:textId="3EDEF8CB" w:rsidR="00A36B16" w:rsidRPr="00F17B0C" w:rsidRDefault="00A36B16" w:rsidP="00A56EF4">
            <w:pPr>
              <w:spacing w:after="160" w:line="259" w:lineRule="auto"/>
              <w:rPr>
                <w:rFonts w:ascii="Suprema" w:hAnsi="Suprema"/>
                <w:sz w:val="20"/>
                <w:szCs w:val="20"/>
              </w:rPr>
            </w:pPr>
          </w:p>
        </w:tc>
      </w:tr>
      <w:tr w:rsidR="00A36B16" w:rsidRPr="00F17B0C" w14:paraId="4D67CA89" w14:textId="77777777" w:rsidTr="00A36B16">
        <w:tc>
          <w:tcPr>
            <w:tcW w:w="8494" w:type="dxa"/>
            <w:gridSpan w:val="2"/>
            <w:shd w:val="clear" w:color="auto" w:fill="F4B083" w:themeFill="accent2" w:themeFillTint="99"/>
            <w:hideMark/>
          </w:tcPr>
          <w:p w14:paraId="3FD79B26" w14:textId="77777777" w:rsidR="00A36B16" w:rsidRPr="00F17B0C" w:rsidRDefault="00A36B16" w:rsidP="00A56EF4">
            <w:pPr>
              <w:spacing w:after="160" w:line="259" w:lineRule="auto"/>
              <w:rPr>
                <w:rFonts w:ascii="Suprema" w:hAnsi="Suprema"/>
                <w:sz w:val="20"/>
                <w:szCs w:val="20"/>
              </w:rPr>
            </w:pPr>
            <w:r w:rsidRPr="00F17B0C">
              <w:rPr>
                <w:rFonts w:ascii="Suprema" w:hAnsi="Suprema"/>
                <w:b/>
                <w:bCs/>
                <w:sz w:val="20"/>
                <w:szCs w:val="20"/>
              </w:rPr>
              <w:t>3. Contenidos del Hito</w:t>
            </w:r>
          </w:p>
        </w:tc>
      </w:tr>
      <w:tr w:rsidR="00A36B16" w:rsidRPr="00F17B0C" w14:paraId="28ED0D3B" w14:textId="77777777" w:rsidTr="00A36B16">
        <w:tc>
          <w:tcPr>
            <w:tcW w:w="3049" w:type="dxa"/>
            <w:shd w:val="clear" w:color="auto" w:fill="FBE4D5" w:themeFill="accent2" w:themeFillTint="33"/>
            <w:hideMark/>
          </w:tcPr>
          <w:p w14:paraId="21D1B96C" w14:textId="77777777" w:rsidR="00A36B16" w:rsidRPr="00F17B0C" w:rsidRDefault="00A36B16" w:rsidP="00A56EF4">
            <w:pPr>
              <w:spacing w:after="160" w:line="259" w:lineRule="auto"/>
              <w:rPr>
                <w:rFonts w:ascii="Suprema" w:hAnsi="Suprema"/>
                <w:sz w:val="20"/>
                <w:szCs w:val="20"/>
              </w:rPr>
            </w:pPr>
            <w:r w:rsidRPr="00F17B0C">
              <w:rPr>
                <w:rFonts w:ascii="Suprema" w:hAnsi="Suprema"/>
                <w:sz w:val="20"/>
                <w:szCs w:val="20"/>
              </w:rPr>
              <w:t>Tema 1:</w:t>
            </w:r>
          </w:p>
        </w:tc>
        <w:tc>
          <w:tcPr>
            <w:tcW w:w="5445" w:type="dxa"/>
            <w:hideMark/>
          </w:tcPr>
          <w:p w14:paraId="0191D330" w14:textId="37F75121" w:rsidR="008D3BE2" w:rsidRPr="008D3BE2" w:rsidRDefault="008D3BE2" w:rsidP="008D3BE2">
            <w:pPr>
              <w:rPr>
                <w:rFonts w:ascii="Suprema" w:hAnsi="Suprema"/>
                <w:b/>
                <w:bCs/>
                <w:sz w:val="20"/>
                <w:szCs w:val="20"/>
              </w:rPr>
            </w:pPr>
            <w:r w:rsidRPr="008D3BE2">
              <w:rPr>
                <w:rFonts w:ascii="Suprema" w:hAnsi="Suprema"/>
                <w:b/>
                <w:bCs/>
                <w:sz w:val="20"/>
                <w:szCs w:val="20"/>
              </w:rPr>
              <w:t xml:space="preserve">Tema 1: Lenguaje audiovisual como sistema de significación </w:t>
            </w:r>
          </w:p>
          <w:p w14:paraId="05C31AF0" w14:textId="525F9581" w:rsidR="00A36B16" w:rsidRPr="00F17B0C" w:rsidRDefault="008D3BE2" w:rsidP="008D3BE2">
            <w:pPr>
              <w:spacing w:after="160" w:line="259" w:lineRule="auto"/>
              <w:rPr>
                <w:rFonts w:ascii="Suprema" w:hAnsi="Suprema"/>
                <w:sz w:val="20"/>
                <w:szCs w:val="20"/>
              </w:rPr>
            </w:pPr>
            <w:r w:rsidRPr="008D3BE2">
              <w:rPr>
                <w:rFonts w:ascii="Suprema" w:hAnsi="Suprema"/>
                <w:sz w:val="20"/>
                <w:szCs w:val="20"/>
              </w:rPr>
              <w:t>Se analiza el lenguaje audiovisual como un conjunto de códigos visuales y sonoros que, al combinarse, generan sentido. El estudiante comprende cómo el plano, el encuadre, el movimiento de cámara, la iluminación y el sonido no son recursos aislados, sino elementos que dialogan entre sí y construyen una lectura específica de la realidad.</w:t>
            </w:r>
          </w:p>
        </w:tc>
      </w:tr>
      <w:tr w:rsidR="00A36B16" w:rsidRPr="00F17B0C" w14:paraId="51E91126" w14:textId="77777777" w:rsidTr="00A36B16">
        <w:tc>
          <w:tcPr>
            <w:tcW w:w="3049" w:type="dxa"/>
            <w:shd w:val="clear" w:color="auto" w:fill="FBE4D5" w:themeFill="accent2" w:themeFillTint="33"/>
            <w:hideMark/>
          </w:tcPr>
          <w:p w14:paraId="29215213" w14:textId="77777777" w:rsidR="00A36B16" w:rsidRPr="00F17B0C" w:rsidRDefault="00A36B16" w:rsidP="00A56EF4">
            <w:pPr>
              <w:spacing w:after="160" w:line="259" w:lineRule="auto"/>
              <w:rPr>
                <w:rFonts w:ascii="Suprema" w:hAnsi="Suprema"/>
                <w:sz w:val="20"/>
                <w:szCs w:val="20"/>
              </w:rPr>
            </w:pPr>
            <w:r w:rsidRPr="00F17B0C">
              <w:rPr>
                <w:rFonts w:ascii="Suprema" w:hAnsi="Suprema"/>
                <w:sz w:val="20"/>
                <w:szCs w:val="20"/>
              </w:rPr>
              <w:t>Tema 2:</w:t>
            </w:r>
          </w:p>
        </w:tc>
        <w:tc>
          <w:tcPr>
            <w:tcW w:w="5445" w:type="dxa"/>
            <w:hideMark/>
          </w:tcPr>
          <w:p w14:paraId="67F8109D" w14:textId="1BD4EC11" w:rsidR="008D3BE2" w:rsidRPr="008D3BE2" w:rsidRDefault="008D3BE2" w:rsidP="008D3BE2">
            <w:pPr>
              <w:rPr>
                <w:rFonts w:ascii="Suprema" w:hAnsi="Suprema"/>
                <w:b/>
                <w:bCs/>
                <w:sz w:val="20"/>
                <w:szCs w:val="20"/>
              </w:rPr>
            </w:pPr>
            <w:r w:rsidRPr="008D3BE2">
              <w:rPr>
                <w:rFonts w:ascii="Suprema" w:hAnsi="Suprema"/>
                <w:b/>
                <w:bCs/>
                <w:sz w:val="20"/>
                <w:szCs w:val="20"/>
              </w:rPr>
              <w:t xml:space="preserve">Tema 2: Narrativa audiovisual y construcción del relato </w:t>
            </w:r>
          </w:p>
          <w:p w14:paraId="7E565ADF" w14:textId="5270F68E" w:rsidR="00A36B16" w:rsidRPr="00F17B0C" w:rsidRDefault="008D3BE2" w:rsidP="008D3BE2">
            <w:pPr>
              <w:spacing w:after="160" w:line="259" w:lineRule="auto"/>
              <w:rPr>
                <w:rFonts w:ascii="Suprema" w:hAnsi="Suprema"/>
                <w:sz w:val="20"/>
                <w:szCs w:val="20"/>
              </w:rPr>
            </w:pPr>
            <w:r w:rsidRPr="008D3BE2">
              <w:rPr>
                <w:rFonts w:ascii="Suprema" w:hAnsi="Suprema"/>
                <w:sz w:val="20"/>
                <w:szCs w:val="20"/>
              </w:rPr>
              <w:t xml:space="preserve">Se profundiza en la estructura narrativa aplicada al audiovisual idea, conflicto, desarrollo y cierre. A partir de ejemplos reales de cine, televisión y contenidos digitales, el estudiante aprende cómo se organiza un </w:t>
            </w:r>
            <w:r w:rsidRPr="008D3BE2">
              <w:rPr>
                <w:rFonts w:ascii="Suprema" w:hAnsi="Suprema"/>
                <w:sz w:val="20"/>
                <w:szCs w:val="20"/>
              </w:rPr>
              <w:lastRenderedPageBreak/>
              <w:t>relato audiovisual y cómo el montaje y el ritmo influyen directamente en la percepción del espectador.</w:t>
            </w:r>
          </w:p>
        </w:tc>
      </w:tr>
      <w:tr w:rsidR="00A36B16" w:rsidRPr="00F17B0C" w14:paraId="007128F7" w14:textId="77777777" w:rsidTr="00A36B16">
        <w:tc>
          <w:tcPr>
            <w:tcW w:w="3049" w:type="dxa"/>
            <w:shd w:val="clear" w:color="auto" w:fill="FBE4D5" w:themeFill="accent2" w:themeFillTint="33"/>
            <w:hideMark/>
          </w:tcPr>
          <w:p w14:paraId="7543CD9F" w14:textId="77777777" w:rsidR="00A36B16" w:rsidRPr="00F17B0C" w:rsidRDefault="00A36B16" w:rsidP="00A56EF4">
            <w:pPr>
              <w:spacing w:after="160" w:line="259" w:lineRule="auto"/>
              <w:rPr>
                <w:rFonts w:ascii="Suprema" w:hAnsi="Suprema"/>
                <w:sz w:val="20"/>
                <w:szCs w:val="20"/>
              </w:rPr>
            </w:pPr>
            <w:r w:rsidRPr="00F17B0C">
              <w:rPr>
                <w:rFonts w:ascii="Suprema" w:hAnsi="Suprema"/>
                <w:sz w:val="20"/>
                <w:szCs w:val="20"/>
              </w:rPr>
              <w:lastRenderedPageBreak/>
              <w:t>…</w:t>
            </w:r>
          </w:p>
        </w:tc>
        <w:tc>
          <w:tcPr>
            <w:tcW w:w="5445" w:type="dxa"/>
            <w:hideMark/>
          </w:tcPr>
          <w:p w14:paraId="45343F67" w14:textId="77777777" w:rsidR="00A36B16" w:rsidRPr="00F17B0C" w:rsidRDefault="00A36B16" w:rsidP="00A56EF4">
            <w:pPr>
              <w:spacing w:after="160" w:line="259" w:lineRule="auto"/>
              <w:rPr>
                <w:rFonts w:ascii="Suprema" w:hAnsi="Suprema"/>
                <w:sz w:val="20"/>
                <w:szCs w:val="20"/>
              </w:rPr>
            </w:pPr>
            <w:r w:rsidRPr="00F17B0C">
              <w:rPr>
                <w:rFonts w:ascii="Suprema" w:hAnsi="Suprema"/>
                <w:sz w:val="20"/>
                <w:szCs w:val="20"/>
              </w:rPr>
              <w:t>…</w:t>
            </w:r>
          </w:p>
        </w:tc>
      </w:tr>
      <w:tr w:rsidR="00A36B16" w:rsidRPr="00F17B0C" w14:paraId="1780D382" w14:textId="77777777" w:rsidTr="00A36B16">
        <w:tc>
          <w:tcPr>
            <w:tcW w:w="8494" w:type="dxa"/>
            <w:gridSpan w:val="2"/>
            <w:shd w:val="clear" w:color="auto" w:fill="F4B083" w:themeFill="accent2" w:themeFillTint="99"/>
            <w:hideMark/>
          </w:tcPr>
          <w:p w14:paraId="103D3758" w14:textId="77777777" w:rsidR="00A36B16" w:rsidRPr="00F17B0C" w:rsidRDefault="00A36B16" w:rsidP="00A56EF4">
            <w:pPr>
              <w:spacing w:after="160" w:line="259" w:lineRule="auto"/>
              <w:rPr>
                <w:rFonts w:ascii="Suprema" w:hAnsi="Suprema"/>
                <w:sz w:val="20"/>
                <w:szCs w:val="20"/>
              </w:rPr>
            </w:pPr>
            <w:r w:rsidRPr="00F17B0C">
              <w:rPr>
                <w:rFonts w:ascii="Suprema" w:hAnsi="Suprema"/>
                <w:b/>
                <w:bCs/>
                <w:sz w:val="20"/>
                <w:szCs w:val="20"/>
              </w:rPr>
              <w:t>4. Habilidades que adquirirá el estudiante</w:t>
            </w:r>
          </w:p>
        </w:tc>
      </w:tr>
      <w:tr w:rsidR="00A36B16" w:rsidRPr="00F17B0C" w14:paraId="6723647A" w14:textId="77777777" w:rsidTr="00A36B16">
        <w:tc>
          <w:tcPr>
            <w:tcW w:w="3049" w:type="dxa"/>
            <w:shd w:val="clear" w:color="auto" w:fill="FBE4D5" w:themeFill="accent2" w:themeFillTint="33"/>
            <w:hideMark/>
          </w:tcPr>
          <w:p w14:paraId="443EEB78" w14:textId="77777777" w:rsidR="00A36B16" w:rsidRPr="00F17B0C" w:rsidRDefault="00A36B16" w:rsidP="00A56EF4">
            <w:pPr>
              <w:spacing w:after="160" w:line="259" w:lineRule="auto"/>
              <w:rPr>
                <w:rFonts w:ascii="Suprema" w:hAnsi="Suprema"/>
                <w:sz w:val="20"/>
                <w:szCs w:val="20"/>
              </w:rPr>
            </w:pPr>
            <w:r w:rsidRPr="00F17B0C">
              <w:rPr>
                <w:rFonts w:ascii="Suprema" w:hAnsi="Suprema"/>
                <w:sz w:val="20"/>
                <w:szCs w:val="20"/>
              </w:rPr>
              <w:t>Breve descripción de los aprendizajes clave y su aplicación en la vida profesional:</w:t>
            </w:r>
          </w:p>
        </w:tc>
        <w:tc>
          <w:tcPr>
            <w:tcW w:w="5445" w:type="dxa"/>
            <w:hideMark/>
          </w:tcPr>
          <w:p w14:paraId="1F334589" w14:textId="77777777" w:rsidR="005C1178" w:rsidRPr="005C1178" w:rsidRDefault="005C1178" w:rsidP="005C1178">
            <w:pPr>
              <w:rPr>
                <w:rFonts w:ascii="Suprema" w:hAnsi="Suprema"/>
                <w:sz w:val="20"/>
                <w:szCs w:val="20"/>
              </w:rPr>
            </w:pPr>
            <w:r w:rsidRPr="005C1178">
              <w:rPr>
                <w:rFonts w:ascii="Suprema" w:hAnsi="Suprema"/>
                <w:sz w:val="20"/>
                <w:szCs w:val="20"/>
              </w:rPr>
              <w:t>Al finalizar este hito, el estudiante habrá desarrollado la capacidad de leer críticamente el lenguaje audiovisual, identificando cómo se construye el sentido a través de imagen y sonido. Será capaz de tomar decisiones narrativas fundamentadas, aplicables tanto a proyectos académicos como a contextos profesionales reales.</w:t>
            </w:r>
          </w:p>
          <w:p w14:paraId="0CFF5E32" w14:textId="77777777" w:rsidR="005C1178" w:rsidRPr="005C1178" w:rsidRDefault="005C1178" w:rsidP="005C1178">
            <w:pPr>
              <w:rPr>
                <w:rFonts w:ascii="Suprema" w:hAnsi="Suprema"/>
                <w:sz w:val="20"/>
                <w:szCs w:val="20"/>
              </w:rPr>
            </w:pPr>
          </w:p>
          <w:p w14:paraId="3CDC367E" w14:textId="3BCD4F96" w:rsidR="00A36B16" w:rsidRPr="00F17B0C" w:rsidRDefault="005C1178" w:rsidP="005C1178">
            <w:pPr>
              <w:spacing w:after="160" w:line="259" w:lineRule="auto"/>
              <w:rPr>
                <w:rFonts w:ascii="Suprema" w:hAnsi="Suprema"/>
                <w:sz w:val="20"/>
                <w:szCs w:val="20"/>
              </w:rPr>
            </w:pPr>
            <w:r w:rsidRPr="005C1178">
              <w:rPr>
                <w:rFonts w:ascii="Suprema" w:hAnsi="Suprema"/>
                <w:sz w:val="20"/>
                <w:szCs w:val="20"/>
              </w:rPr>
              <w:t>Asimismo, adquirirá habilidades para analizar y planificar relatos audiovisuales, comprenderá la importancia del montaje y el sonido como recursos expresivos, y fortalecerá su pensamiento estratégico y creativo. Estas competencias son directamente transferibles a ámbitos como la producción de contenidos digitales, la comunicación institucional, la publicidad y los proyectos audiovisuales independientes.</w:t>
            </w:r>
          </w:p>
        </w:tc>
      </w:tr>
      <w:tr w:rsidR="00A36B16" w:rsidRPr="00F17B0C" w14:paraId="4CC3CC4A" w14:textId="77777777" w:rsidTr="00A36B16">
        <w:tc>
          <w:tcPr>
            <w:tcW w:w="8494" w:type="dxa"/>
            <w:gridSpan w:val="2"/>
            <w:shd w:val="clear" w:color="auto" w:fill="F4B083" w:themeFill="accent2" w:themeFillTint="99"/>
            <w:hideMark/>
          </w:tcPr>
          <w:p w14:paraId="53D27AF4" w14:textId="77777777" w:rsidR="00A36B16" w:rsidRPr="00F17B0C" w:rsidRDefault="00A36B16" w:rsidP="00A56EF4">
            <w:pPr>
              <w:spacing w:after="160" w:line="259" w:lineRule="auto"/>
              <w:rPr>
                <w:rFonts w:ascii="Suprema" w:hAnsi="Suprema"/>
                <w:sz w:val="20"/>
                <w:szCs w:val="20"/>
              </w:rPr>
            </w:pPr>
            <w:r w:rsidRPr="00F17B0C">
              <w:rPr>
                <w:rFonts w:ascii="Suprema" w:hAnsi="Suprema"/>
                <w:b/>
                <w:bCs/>
                <w:sz w:val="20"/>
                <w:szCs w:val="20"/>
              </w:rPr>
              <w:t>5. Pregunta de Autoevaluación del Hito</w:t>
            </w:r>
          </w:p>
        </w:tc>
      </w:tr>
      <w:tr w:rsidR="00A36B16" w:rsidRPr="00F17B0C" w14:paraId="16871CCA" w14:textId="77777777" w:rsidTr="00A36B16">
        <w:tc>
          <w:tcPr>
            <w:tcW w:w="3049" w:type="dxa"/>
            <w:shd w:val="clear" w:color="auto" w:fill="FBE4D5" w:themeFill="accent2" w:themeFillTint="33"/>
            <w:hideMark/>
          </w:tcPr>
          <w:p w14:paraId="0E811112" w14:textId="77777777" w:rsidR="00A36B16" w:rsidRPr="00F17B0C" w:rsidRDefault="00A36B16" w:rsidP="00A56EF4">
            <w:pPr>
              <w:spacing w:after="160" w:line="259" w:lineRule="auto"/>
              <w:rPr>
                <w:rFonts w:ascii="Suprema" w:hAnsi="Suprema"/>
                <w:sz w:val="20"/>
                <w:szCs w:val="20"/>
              </w:rPr>
            </w:pPr>
            <w:r w:rsidRPr="00F17B0C">
              <w:rPr>
                <w:rFonts w:ascii="Suprema" w:hAnsi="Suprema"/>
                <w:sz w:val="20"/>
                <w:szCs w:val="20"/>
              </w:rPr>
              <w:t>Copia tu pregunta de autoevaluación del plan global de formación:</w:t>
            </w:r>
          </w:p>
        </w:tc>
        <w:tc>
          <w:tcPr>
            <w:tcW w:w="5445" w:type="dxa"/>
            <w:hideMark/>
          </w:tcPr>
          <w:p w14:paraId="08789F62" w14:textId="581EB2D7" w:rsidR="00A36B16" w:rsidRPr="00F17B0C" w:rsidRDefault="005C1178" w:rsidP="00A56EF4">
            <w:pPr>
              <w:spacing w:after="160" w:line="259" w:lineRule="auto"/>
              <w:rPr>
                <w:rFonts w:ascii="Suprema" w:hAnsi="Suprema"/>
                <w:sz w:val="20"/>
                <w:szCs w:val="20"/>
              </w:rPr>
            </w:pPr>
            <w:r w:rsidRPr="005C1178">
              <w:rPr>
                <w:rFonts w:ascii="Suprema" w:hAnsi="Suprema"/>
                <w:sz w:val="20"/>
                <w:szCs w:val="20"/>
              </w:rPr>
              <w:t>¿De qué manera las decisiones de encuadre, sonido y montaje influyen en la construcción del sentido narrativo de una pieza audiovisual y en la interpretación que realiza el espectador?</w:t>
            </w:r>
          </w:p>
        </w:tc>
      </w:tr>
      <w:tr w:rsidR="00A36B16" w:rsidRPr="00F17B0C" w14:paraId="2FDEEC23" w14:textId="77777777" w:rsidTr="00A36B16">
        <w:tc>
          <w:tcPr>
            <w:tcW w:w="8494" w:type="dxa"/>
            <w:gridSpan w:val="2"/>
            <w:shd w:val="clear" w:color="auto" w:fill="F4B083" w:themeFill="accent2" w:themeFillTint="99"/>
            <w:hideMark/>
          </w:tcPr>
          <w:p w14:paraId="58682EF9" w14:textId="77777777" w:rsidR="00A36B16" w:rsidRPr="00F17B0C" w:rsidRDefault="00A36B16" w:rsidP="00A56EF4">
            <w:pPr>
              <w:spacing w:after="160" w:line="259" w:lineRule="auto"/>
              <w:rPr>
                <w:rFonts w:ascii="Suprema" w:hAnsi="Suprema"/>
                <w:sz w:val="20"/>
                <w:szCs w:val="20"/>
              </w:rPr>
            </w:pPr>
            <w:r w:rsidRPr="00F17B0C">
              <w:rPr>
                <w:rFonts w:ascii="Suprema" w:hAnsi="Suprema"/>
                <w:b/>
                <w:bCs/>
                <w:sz w:val="20"/>
                <w:szCs w:val="20"/>
              </w:rPr>
              <w:t>6. Cierre e Invitación a Iniciar las Actividades</w:t>
            </w:r>
          </w:p>
        </w:tc>
      </w:tr>
      <w:tr w:rsidR="00A36B16" w:rsidRPr="00F17B0C" w14:paraId="5C807D1F" w14:textId="77777777" w:rsidTr="00A36B16">
        <w:tc>
          <w:tcPr>
            <w:tcW w:w="3049" w:type="dxa"/>
            <w:shd w:val="clear" w:color="auto" w:fill="FBE4D5" w:themeFill="accent2" w:themeFillTint="33"/>
            <w:hideMark/>
          </w:tcPr>
          <w:p w14:paraId="1615C0DA" w14:textId="77777777" w:rsidR="00A36B16" w:rsidRPr="00F17B0C" w:rsidRDefault="00A36B16" w:rsidP="00A56EF4">
            <w:pPr>
              <w:spacing w:after="160" w:line="259" w:lineRule="auto"/>
              <w:rPr>
                <w:rFonts w:ascii="Suprema" w:hAnsi="Suprema"/>
                <w:sz w:val="20"/>
                <w:szCs w:val="20"/>
              </w:rPr>
            </w:pPr>
            <w:r w:rsidRPr="00F17B0C">
              <w:rPr>
                <w:rFonts w:ascii="Suprema" w:hAnsi="Suprema"/>
                <w:sz w:val="20"/>
                <w:szCs w:val="20"/>
              </w:rPr>
              <w:t>Mensaje final de motivación (opcional):</w:t>
            </w:r>
          </w:p>
        </w:tc>
        <w:tc>
          <w:tcPr>
            <w:tcW w:w="5445" w:type="dxa"/>
            <w:hideMark/>
          </w:tcPr>
          <w:p w14:paraId="5B941F45" w14:textId="47560F3C" w:rsidR="00A36B16" w:rsidRPr="00F17B0C" w:rsidRDefault="005C1178" w:rsidP="00A56EF4">
            <w:pPr>
              <w:spacing w:after="160" w:line="259" w:lineRule="auto"/>
              <w:rPr>
                <w:rFonts w:ascii="Suprema" w:hAnsi="Suprema"/>
                <w:sz w:val="20"/>
                <w:szCs w:val="20"/>
              </w:rPr>
            </w:pPr>
            <w:r w:rsidRPr="005C1178">
              <w:rPr>
                <w:rFonts w:ascii="Suprema" w:hAnsi="Suprema"/>
                <w:sz w:val="20"/>
                <w:szCs w:val="20"/>
              </w:rPr>
              <w:t xml:space="preserve">Como plantea </w:t>
            </w:r>
            <w:r w:rsidRPr="005C1178">
              <w:rPr>
                <w:rFonts w:ascii="Suprema" w:hAnsi="Suprema"/>
                <w:b/>
                <w:bCs/>
                <w:sz w:val="20"/>
                <w:szCs w:val="20"/>
              </w:rPr>
              <w:t xml:space="preserve">Michel </w:t>
            </w:r>
            <w:proofErr w:type="spellStart"/>
            <w:r w:rsidRPr="005C1178">
              <w:rPr>
                <w:rFonts w:ascii="Suprema" w:hAnsi="Suprema"/>
                <w:b/>
                <w:bCs/>
                <w:sz w:val="20"/>
                <w:szCs w:val="20"/>
              </w:rPr>
              <w:t>Chion</w:t>
            </w:r>
            <w:proofErr w:type="spellEnd"/>
            <w:r w:rsidRPr="005C1178">
              <w:rPr>
                <w:rFonts w:ascii="Suprema" w:hAnsi="Suprema"/>
                <w:sz w:val="20"/>
                <w:szCs w:val="20"/>
              </w:rPr>
              <w:t>, el audiovisual no se limita a mostrar, sino que propone una forma de escuchar y mirar el mundo. Este hito invita a asumir un rol activo frente a las imágenes, a pensar cada decisión y a comprender que comunicar con audiovisuales es, ante todo, una responsabilidad creativa y cultural.</w:t>
            </w:r>
          </w:p>
        </w:tc>
      </w:tr>
    </w:tbl>
    <w:p w14:paraId="484CED0C" w14:textId="77777777" w:rsidR="00A36B16" w:rsidRPr="00F17B0C" w:rsidRDefault="00A36B16" w:rsidP="00A36B16">
      <w:pPr>
        <w:rPr>
          <w:rFonts w:ascii="Suprema" w:hAnsi="Suprema"/>
          <w:sz w:val="20"/>
          <w:szCs w:val="20"/>
        </w:rPr>
      </w:pPr>
    </w:p>
    <w:p w14:paraId="4A2EB695" w14:textId="77777777" w:rsidR="00A36B16" w:rsidRPr="00F17B0C" w:rsidRDefault="00A36B16" w:rsidP="00A36B16">
      <w:pPr>
        <w:rPr>
          <w:rFonts w:ascii="Suprema" w:hAnsi="Suprema"/>
          <w:sz w:val="20"/>
          <w:szCs w:val="20"/>
        </w:rPr>
      </w:pPr>
      <w:r w:rsidRPr="00F17B0C">
        <w:rPr>
          <w:rFonts w:ascii="Suprema" w:hAnsi="Suprema"/>
          <w:sz w:val="20"/>
          <w:szCs w:val="20"/>
        </w:rPr>
        <w:br w:type="page"/>
      </w:r>
    </w:p>
    <w:tbl>
      <w:tblPr>
        <w:tblStyle w:val="Tablaconcuadrcula"/>
        <w:tblW w:w="5000" w:type="pct"/>
        <w:tblLook w:val="04A0" w:firstRow="1" w:lastRow="0" w:firstColumn="1" w:lastColumn="0" w:noHBand="0" w:noVBand="1"/>
      </w:tblPr>
      <w:tblGrid>
        <w:gridCol w:w="8494"/>
      </w:tblGrid>
      <w:tr w:rsidR="00A36B16" w:rsidRPr="00F17B0C" w14:paraId="341CC17E" w14:textId="77777777" w:rsidTr="00A56EF4">
        <w:tc>
          <w:tcPr>
            <w:tcW w:w="5000" w:type="pct"/>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7D1F4811" w14:textId="1F9C1582" w:rsidR="00A36B16" w:rsidRPr="00F17B0C" w:rsidRDefault="00725544" w:rsidP="00A56EF4">
            <w:pPr>
              <w:jc w:val="center"/>
              <w:rPr>
                <w:rFonts w:ascii="Suprema" w:eastAsia="Times New Roman" w:hAnsi="Suprema" w:cs="Times New Roman"/>
                <w:b/>
                <w:bCs/>
                <w:sz w:val="20"/>
                <w:szCs w:val="20"/>
                <w:lang w:eastAsia="es-BO"/>
              </w:rPr>
            </w:pPr>
            <w:r>
              <w:rPr>
                <w:rFonts w:ascii="Suprema" w:hAnsi="Suprema"/>
                <w:b/>
                <w:bCs/>
                <w:color w:val="FFFFFF" w:themeColor="background1"/>
                <w:sz w:val="20"/>
                <w:szCs w:val="20"/>
              </w:rPr>
              <w:lastRenderedPageBreak/>
              <w:t xml:space="preserve">EJEMPLO </w:t>
            </w:r>
            <w:r w:rsidR="00A36B16" w:rsidRPr="00F17B0C">
              <w:rPr>
                <w:rFonts w:ascii="Suprema" w:eastAsia="Times New Roman" w:hAnsi="Suprema" w:cs="Times New Roman"/>
                <w:b/>
                <w:bCs/>
                <w:color w:val="FFFFFF" w:themeColor="background1"/>
                <w:sz w:val="20"/>
                <w:szCs w:val="20"/>
                <w:lang w:eastAsia="es-BO"/>
              </w:rPr>
              <w:t>GUION SEMANAL 2</w:t>
            </w:r>
          </w:p>
        </w:tc>
      </w:tr>
      <w:tr w:rsidR="00A36B16" w:rsidRPr="00F17B0C" w14:paraId="4D10ECA4" w14:textId="77777777" w:rsidTr="00A56EF4">
        <w:tc>
          <w:tcPr>
            <w:tcW w:w="5000" w:type="pct"/>
            <w:tcBorders>
              <w:top w:val="single" w:sz="4" w:space="0" w:color="auto"/>
              <w:left w:val="single" w:sz="4" w:space="0" w:color="auto"/>
              <w:bottom w:val="single" w:sz="4" w:space="0" w:color="auto"/>
              <w:right w:val="single" w:sz="4" w:space="0" w:color="auto"/>
            </w:tcBorders>
            <w:shd w:val="clear" w:color="auto" w:fill="9CC2E5" w:themeFill="accent5" w:themeFillTint="99"/>
            <w:hideMark/>
          </w:tcPr>
          <w:p w14:paraId="4E37C86D" w14:textId="77777777" w:rsidR="00A36B16" w:rsidRPr="00F17B0C" w:rsidRDefault="00A36B16" w:rsidP="00A56EF4">
            <w:pPr>
              <w:rPr>
                <w:rFonts w:ascii="Suprema" w:eastAsia="Times New Roman" w:hAnsi="Suprema" w:cs="Times New Roman"/>
                <w:sz w:val="20"/>
                <w:szCs w:val="20"/>
                <w:lang w:eastAsia="es-BO"/>
              </w:rPr>
            </w:pPr>
            <w:r w:rsidRPr="00F17B0C">
              <w:rPr>
                <w:rFonts w:ascii="Suprema" w:eastAsia="Times New Roman" w:hAnsi="Suprema" w:cs="Times New Roman"/>
                <w:b/>
                <w:bCs/>
                <w:sz w:val="20"/>
                <w:szCs w:val="20"/>
                <w:lang w:eastAsia="es-BO"/>
              </w:rPr>
              <w:t>1. Contenido Principal</w:t>
            </w:r>
          </w:p>
        </w:tc>
      </w:tr>
      <w:tr w:rsidR="00A36B16" w:rsidRPr="00F17B0C" w14:paraId="4B905690" w14:textId="77777777" w:rsidTr="00A56EF4">
        <w:tc>
          <w:tcPr>
            <w:tcW w:w="5000" w:type="pct"/>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D5330C3" w14:textId="77777777" w:rsidR="00A36B16" w:rsidRPr="00F17B0C" w:rsidRDefault="00A36B16" w:rsidP="00A56EF4">
            <w:pPr>
              <w:rPr>
                <w:rFonts w:ascii="Suprema" w:eastAsia="Times New Roman" w:hAnsi="Suprema" w:cs="Times New Roman"/>
                <w:sz w:val="20"/>
                <w:szCs w:val="20"/>
                <w:lang w:eastAsia="es-BO"/>
              </w:rPr>
            </w:pPr>
            <w:r w:rsidRPr="00F17B0C">
              <w:rPr>
                <w:rFonts w:ascii="Suprema" w:eastAsia="Times New Roman" w:hAnsi="Suprema" w:cs="Times New Roman"/>
                <w:sz w:val="20"/>
                <w:szCs w:val="20"/>
                <w:lang w:eastAsia="es-BO"/>
              </w:rPr>
              <w:t xml:space="preserve">Temas clave que se abordarán: </w:t>
            </w:r>
          </w:p>
          <w:p w14:paraId="1B8272DF" w14:textId="77777777" w:rsidR="00A36B16" w:rsidRPr="00F17B0C" w:rsidRDefault="00A36B16" w:rsidP="00A56EF4">
            <w:pPr>
              <w:rPr>
                <w:rFonts w:ascii="Suprema" w:eastAsia="Times New Roman" w:hAnsi="Suprema" w:cs="Times New Roman"/>
                <w:sz w:val="20"/>
                <w:szCs w:val="20"/>
                <w:lang w:eastAsia="es-BO"/>
              </w:rPr>
            </w:pPr>
            <w:r w:rsidRPr="00F17B0C">
              <w:rPr>
                <w:rFonts w:ascii="Suprema" w:eastAsia="Times New Roman" w:hAnsi="Suprema" w:cs="Times New Roman"/>
                <w:sz w:val="20"/>
                <w:szCs w:val="20"/>
                <w:lang w:eastAsia="es-BO"/>
              </w:rPr>
              <w:t>(</w:t>
            </w:r>
            <w:r w:rsidRPr="00F17B0C">
              <w:rPr>
                <w:rFonts w:ascii="Suprema" w:hAnsi="Suprema"/>
                <w:sz w:val="20"/>
                <w:szCs w:val="20"/>
              </w:rPr>
              <w:t xml:space="preserve">Describe los </w:t>
            </w:r>
            <w:r w:rsidRPr="00F17B0C">
              <w:rPr>
                <w:rStyle w:val="Textoennegrita"/>
                <w:rFonts w:ascii="Suprema" w:hAnsi="Suprema"/>
                <w:sz w:val="20"/>
                <w:szCs w:val="20"/>
              </w:rPr>
              <w:t>subtemas teóricos</w:t>
            </w:r>
            <w:r w:rsidRPr="00F17B0C">
              <w:rPr>
                <w:rFonts w:ascii="Suprema" w:hAnsi="Suprema"/>
                <w:sz w:val="20"/>
                <w:szCs w:val="20"/>
              </w:rPr>
              <w:t xml:space="preserve"> que trabajarás durante la semana, escribiendo desde tu </w:t>
            </w:r>
            <w:r w:rsidRPr="00F17B0C">
              <w:rPr>
                <w:rStyle w:val="Textoennegrita"/>
                <w:rFonts w:ascii="Suprema" w:hAnsi="Suprema"/>
                <w:sz w:val="20"/>
                <w:szCs w:val="20"/>
              </w:rPr>
              <w:t>experiencia profesional</w:t>
            </w:r>
            <w:r w:rsidRPr="00F17B0C">
              <w:rPr>
                <w:rFonts w:ascii="Suprema" w:hAnsi="Suprema"/>
                <w:sz w:val="20"/>
                <w:szCs w:val="20"/>
              </w:rPr>
              <w:t xml:space="preserve">, explicando </w:t>
            </w:r>
            <w:r w:rsidRPr="00F17B0C">
              <w:rPr>
                <w:rStyle w:val="Textoennegrita"/>
                <w:rFonts w:ascii="Suprema" w:hAnsi="Suprema"/>
                <w:sz w:val="20"/>
                <w:szCs w:val="20"/>
              </w:rPr>
              <w:t>para qué sirve cada subtema</w:t>
            </w:r>
            <w:r w:rsidRPr="00F17B0C">
              <w:rPr>
                <w:rFonts w:ascii="Suprema" w:hAnsi="Suprema"/>
                <w:sz w:val="20"/>
                <w:szCs w:val="20"/>
              </w:rPr>
              <w:t xml:space="preserve">, </w:t>
            </w:r>
            <w:r w:rsidRPr="00F17B0C">
              <w:rPr>
                <w:rStyle w:val="Textoennegrita"/>
                <w:rFonts w:ascii="Suprema" w:hAnsi="Suprema"/>
                <w:sz w:val="20"/>
                <w:szCs w:val="20"/>
              </w:rPr>
              <w:t>qué aprenderá el estudiante</w:t>
            </w:r>
            <w:r w:rsidRPr="00F17B0C">
              <w:rPr>
                <w:rFonts w:ascii="Suprema" w:hAnsi="Suprema"/>
                <w:sz w:val="20"/>
                <w:szCs w:val="20"/>
              </w:rPr>
              <w:t xml:space="preserve"> y </w:t>
            </w:r>
            <w:r w:rsidRPr="00F17B0C">
              <w:rPr>
                <w:rStyle w:val="Textoennegrita"/>
                <w:rFonts w:ascii="Suprema" w:hAnsi="Suprema"/>
                <w:sz w:val="20"/>
                <w:szCs w:val="20"/>
              </w:rPr>
              <w:t>cómo este conocimiento aporta a su formación y desempeño profesional</w:t>
            </w:r>
            <w:r w:rsidRPr="00F17B0C">
              <w:rPr>
                <w:rFonts w:ascii="Suprema" w:hAnsi="Suprema"/>
                <w:sz w:val="20"/>
                <w:szCs w:val="20"/>
              </w:rPr>
              <w:t>.</w:t>
            </w:r>
            <w:r w:rsidRPr="00F17B0C">
              <w:rPr>
                <w:rFonts w:ascii="Suprema" w:eastAsia="Times New Roman" w:hAnsi="Suprema" w:cs="Times New Roman"/>
                <w:sz w:val="20"/>
                <w:szCs w:val="20"/>
                <w:lang w:eastAsia="es-BO"/>
              </w:rPr>
              <w:t>)</w:t>
            </w:r>
          </w:p>
          <w:p w14:paraId="767D9A2B" w14:textId="77777777" w:rsidR="00A36B16" w:rsidRPr="00F17B0C" w:rsidRDefault="00A36B16" w:rsidP="00A56EF4">
            <w:pPr>
              <w:rPr>
                <w:rFonts w:ascii="Suprema" w:eastAsia="Times New Roman" w:hAnsi="Suprema" w:cs="Times New Roman"/>
                <w:sz w:val="20"/>
                <w:szCs w:val="20"/>
                <w:lang w:eastAsia="es-BO"/>
              </w:rPr>
            </w:pPr>
          </w:p>
        </w:tc>
      </w:tr>
      <w:tr w:rsidR="00A36B16" w:rsidRPr="00F17B0C" w14:paraId="1EA93DA3" w14:textId="77777777" w:rsidTr="00A56EF4">
        <w:tc>
          <w:tcPr>
            <w:tcW w:w="5000" w:type="pct"/>
            <w:tcBorders>
              <w:top w:val="single" w:sz="4" w:space="0" w:color="auto"/>
              <w:left w:val="single" w:sz="4" w:space="0" w:color="auto"/>
              <w:bottom w:val="single" w:sz="4" w:space="0" w:color="auto"/>
              <w:right w:val="single" w:sz="4" w:space="0" w:color="auto"/>
            </w:tcBorders>
            <w:hideMark/>
          </w:tcPr>
          <w:p w14:paraId="7DEAB777" w14:textId="608DA7A4" w:rsidR="00701B2A" w:rsidRPr="00701B2A" w:rsidRDefault="00A36B16" w:rsidP="00701B2A">
            <w:pPr>
              <w:rPr>
                <w:rFonts w:ascii="Suprema" w:eastAsia="Times New Roman" w:hAnsi="Suprema" w:cs="Times New Roman"/>
                <w:b/>
                <w:bCs/>
                <w:sz w:val="20"/>
                <w:szCs w:val="20"/>
                <w:lang w:eastAsia="es-BO"/>
              </w:rPr>
            </w:pPr>
            <w:r w:rsidRPr="00F17B0C">
              <w:rPr>
                <w:rFonts w:ascii="Segoe UI Emoji" w:eastAsia="Times New Roman" w:hAnsi="Segoe UI Emoji" w:cs="Segoe UI Emoji"/>
                <w:sz w:val="20"/>
                <w:szCs w:val="20"/>
                <w:lang w:eastAsia="es-BO"/>
              </w:rPr>
              <w:t>🔹</w:t>
            </w:r>
            <w:r w:rsidR="00701B2A" w:rsidRPr="00701B2A">
              <w:rPr>
                <w:rFonts w:ascii="Suprema" w:eastAsia="Times New Roman" w:hAnsi="Suprema" w:cs="Times New Roman"/>
                <w:b/>
                <w:bCs/>
                <w:sz w:val="20"/>
                <w:szCs w:val="20"/>
                <w:lang w:eastAsia="es-BO"/>
              </w:rPr>
              <w:t>Subtema 1: El encuadre como construcción de sentido</w:t>
            </w:r>
          </w:p>
          <w:p w14:paraId="308D590D" w14:textId="77777777" w:rsidR="00701B2A" w:rsidRPr="00701B2A" w:rsidRDefault="00701B2A" w:rsidP="00701B2A">
            <w:pPr>
              <w:rPr>
                <w:rFonts w:ascii="Suprema" w:eastAsia="Times New Roman" w:hAnsi="Suprema" w:cs="Times New Roman"/>
                <w:sz w:val="20"/>
                <w:szCs w:val="20"/>
                <w:lang w:eastAsia="es-BO"/>
              </w:rPr>
            </w:pPr>
            <w:r w:rsidRPr="00701B2A">
              <w:rPr>
                <w:rFonts w:ascii="Suprema" w:eastAsia="Times New Roman" w:hAnsi="Suprema" w:cs="Times New Roman"/>
                <w:sz w:val="20"/>
                <w:szCs w:val="20"/>
                <w:lang w:eastAsia="es-BO"/>
              </w:rPr>
              <w:t>El encuadre define los límites del campo visual y organiza la información dentro de la imagen. Al seleccionar determinados elementos y excluir otros, se establece una jerarquía que orienta la atención del espectador y condiciona su interpretación. En términos comunicacionales, el encuadre funciona como un mecanismo de selección y énfasis que transforma la realidad en discurso audiovisual.</w:t>
            </w:r>
          </w:p>
          <w:p w14:paraId="399E1546" w14:textId="77777777" w:rsidR="00701B2A" w:rsidRPr="00701B2A" w:rsidRDefault="00701B2A" w:rsidP="00701B2A">
            <w:pPr>
              <w:rPr>
                <w:rFonts w:ascii="Suprema" w:eastAsia="Times New Roman" w:hAnsi="Suprema" w:cs="Times New Roman"/>
                <w:sz w:val="20"/>
                <w:szCs w:val="20"/>
                <w:lang w:eastAsia="es-BO"/>
              </w:rPr>
            </w:pPr>
            <w:r w:rsidRPr="00701B2A">
              <w:rPr>
                <w:rFonts w:ascii="Suprema" w:eastAsia="Times New Roman" w:hAnsi="Suprema" w:cs="Times New Roman"/>
                <w:sz w:val="20"/>
                <w:szCs w:val="20"/>
                <w:lang w:eastAsia="es-BO"/>
              </w:rPr>
              <w:t>En el ámbito profesional, esta función es clave en la producción de contenidos informativos, narrativos y publicitarios, donde cada imagen debe responder a una intención clara. Un encuadre bien definido permite controlar el significado del mensaje y evitar ambigüedades que puedan debilitar su efectividad comunicacional.</w:t>
            </w:r>
          </w:p>
          <w:p w14:paraId="7A0899A6" w14:textId="00A2F833" w:rsidR="00701B2A" w:rsidRPr="00F17B0C" w:rsidRDefault="00701B2A" w:rsidP="00701B2A">
            <w:pPr>
              <w:rPr>
                <w:rFonts w:ascii="Suprema" w:eastAsia="Times New Roman" w:hAnsi="Suprema" w:cs="Times New Roman"/>
                <w:sz w:val="20"/>
                <w:szCs w:val="20"/>
                <w:lang w:eastAsia="es-BO"/>
              </w:rPr>
            </w:pPr>
          </w:p>
          <w:p w14:paraId="7B559E5D" w14:textId="533170FD" w:rsidR="00A36B16" w:rsidRPr="00F17B0C" w:rsidRDefault="00A36B16" w:rsidP="00A56EF4">
            <w:pPr>
              <w:rPr>
                <w:rFonts w:ascii="Suprema" w:eastAsia="Times New Roman" w:hAnsi="Suprema" w:cs="Times New Roman"/>
                <w:sz w:val="20"/>
                <w:szCs w:val="20"/>
                <w:lang w:eastAsia="es-BO"/>
              </w:rPr>
            </w:pPr>
          </w:p>
        </w:tc>
      </w:tr>
      <w:tr w:rsidR="00A36B16" w:rsidRPr="00F17B0C" w14:paraId="06A92ACC" w14:textId="77777777" w:rsidTr="00A56EF4">
        <w:tc>
          <w:tcPr>
            <w:tcW w:w="5000" w:type="pct"/>
            <w:tcBorders>
              <w:top w:val="single" w:sz="4" w:space="0" w:color="auto"/>
              <w:left w:val="single" w:sz="4" w:space="0" w:color="auto"/>
              <w:bottom w:val="single" w:sz="4" w:space="0" w:color="auto"/>
              <w:right w:val="single" w:sz="4" w:space="0" w:color="auto"/>
            </w:tcBorders>
            <w:hideMark/>
          </w:tcPr>
          <w:p w14:paraId="47F1A90E" w14:textId="756DA42B" w:rsidR="00725544" w:rsidRPr="00725544" w:rsidRDefault="00A36B16" w:rsidP="00725544">
            <w:pPr>
              <w:rPr>
                <w:rFonts w:ascii="Suprema" w:eastAsia="Times New Roman" w:hAnsi="Suprema" w:cs="Times New Roman"/>
                <w:b/>
                <w:bCs/>
                <w:sz w:val="20"/>
                <w:szCs w:val="20"/>
                <w:lang w:eastAsia="es-BO"/>
              </w:rPr>
            </w:pPr>
            <w:r w:rsidRPr="00115AE4">
              <w:rPr>
                <w:rFonts w:ascii="Segoe UI Emoji" w:eastAsia="Times New Roman" w:hAnsi="Segoe UI Emoji" w:cs="Segoe UI Emoji"/>
                <w:b/>
                <w:bCs/>
                <w:sz w:val="20"/>
                <w:szCs w:val="20"/>
                <w:lang w:eastAsia="es-BO"/>
              </w:rPr>
              <w:t>🔹</w:t>
            </w:r>
            <w:r w:rsidR="00725544" w:rsidRPr="00725544">
              <w:rPr>
                <w:rFonts w:ascii="Suprema" w:eastAsia="Times New Roman" w:hAnsi="Suprema" w:cs="Times New Roman"/>
                <w:b/>
                <w:bCs/>
                <w:sz w:val="20"/>
                <w:szCs w:val="20"/>
                <w:lang w:eastAsia="es-BO"/>
              </w:rPr>
              <w:t>Subtema 2: Tipos de plano y su función narrativa</w:t>
            </w:r>
          </w:p>
          <w:p w14:paraId="1CEF603F" w14:textId="77777777" w:rsidR="00725544" w:rsidRPr="00725544" w:rsidRDefault="00725544" w:rsidP="00725544">
            <w:pPr>
              <w:rPr>
                <w:rFonts w:ascii="Suprema" w:eastAsia="Times New Roman" w:hAnsi="Suprema" w:cs="Times New Roman"/>
                <w:sz w:val="20"/>
                <w:szCs w:val="20"/>
                <w:lang w:eastAsia="es-BO"/>
              </w:rPr>
            </w:pPr>
            <w:r w:rsidRPr="00725544">
              <w:rPr>
                <w:rFonts w:ascii="Suprema" w:eastAsia="Times New Roman" w:hAnsi="Suprema" w:cs="Times New Roman"/>
                <w:sz w:val="20"/>
                <w:szCs w:val="20"/>
                <w:lang w:eastAsia="es-BO"/>
              </w:rPr>
              <w:t>Los tipos de plano constituyen recursos narrativos que organizan la relación entre el espectador, el sujeto y el espacio. Cada plano cumple una función específica dentro del relato audiovisual: los planos generales contextualizan la acción, los planos medios establecen relaciones y los primeros planos enfatizan emociones, gestos o detalles significativos.</w:t>
            </w:r>
          </w:p>
          <w:p w14:paraId="264C026B" w14:textId="77777777" w:rsidR="00725544" w:rsidRPr="00725544" w:rsidRDefault="00725544" w:rsidP="00725544">
            <w:pPr>
              <w:rPr>
                <w:rFonts w:ascii="Suprema" w:eastAsia="Times New Roman" w:hAnsi="Suprema" w:cs="Times New Roman"/>
                <w:sz w:val="20"/>
                <w:szCs w:val="20"/>
                <w:lang w:eastAsia="es-BO"/>
              </w:rPr>
            </w:pPr>
            <w:r w:rsidRPr="00725544">
              <w:rPr>
                <w:rFonts w:ascii="Suprema" w:eastAsia="Times New Roman" w:hAnsi="Suprema" w:cs="Times New Roman"/>
                <w:sz w:val="20"/>
                <w:szCs w:val="20"/>
                <w:lang w:eastAsia="es-BO"/>
              </w:rPr>
              <w:t>En el entorno laboral audiovisual, la correcta elección del plano impacta directamente en la claridad narrativa y en la experiencia del espectador. En producciones audiovisuales profesionales, la selección del tipo de plano se vincula con el objetivo comunicacional, el ritmo del relato y el efecto emocional que se busca generar.</w:t>
            </w:r>
          </w:p>
          <w:p w14:paraId="5DAE66C3" w14:textId="4D0578D2" w:rsidR="00A36B16" w:rsidRPr="00F17B0C" w:rsidRDefault="00A36B16" w:rsidP="00115AE4">
            <w:pPr>
              <w:rPr>
                <w:rFonts w:ascii="Suprema" w:eastAsia="Times New Roman" w:hAnsi="Suprema" w:cs="Times New Roman"/>
                <w:sz w:val="20"/>
                <w:szCs w:val="20"/>
                <w:lang w:eastAsia="es-BO"/>
              </w:rPr>
            </w:pPr>
          </w:p>
        </w:tc>
      </w:tr>
      <w:tr w:rsidR="00A36B16" w:rsidRPr="00F17B0C" w14:paraId="5CB382BB" w14:textId="77777777" w:rsidTr="00A56EF4">
        <w:tc>
          <w:tcPr>
            <w:tcW w:w="5000" w:type="pct"/>
            <w:tcBorders>
              <w:top w:val="single" w:sz="4" w:space="0" w:color="auto"/>
              <w:left w:val="single" w:sz="4" w:space="0" w:color="auto"/>
              <w:bottom w:val="single" w:sz="4" w:space="0" w:color="auto"/>
              <w:right w:val="single" w:sz="4" w:space="0" w:color="auto"/>
            </w:tcBorders>
            <w:hideMark/>
          </w:tcPr>
          <w:p w14:paraId="1AE11662" w14:textId="634540F7" w:rsidR="00725544" w:rsidRPr="00725544" w:rsidRDefault="00A36B16" w:rsidP="00725544">
            <w:pPr>
              <w:rPr>
                <w:rFonts w:ascii="Suprema" w:eastAsia="Times New Roman" w:hAnsi="Suprema" w:cs="Times New Roman"/>
                <w:b/>
                <w:bCs/>
                <w:sz w:val="20"/>
                <w:szCs w:val="20"/>
                <w:lang w:eastAsia="es-BO"/>
              </w:rPr>
            </w:pPr>
            <w:r w:rsidRPr="00F17B0C">
              <w:rPr>
                <w:rFonts w:ascii="Segoe UI Emoji" w:eastAsia="Times New Roman" w:hAnsi="Segoe UI Emoji" w:cs="Segoe UI Emoji"/>
                <w:sz w:val="20"/>
                <w:szCs w:val="20"/>
                <w:lang w:eastAsia="es-BO"/>
              </w:rPr>
              <w:t>🔹</w:t>
            </w:r>
            <w:r w:rsidR="00725544" w:rsidRPr="00725544">
              <w:rPr>
                <w:rFonts w:ascii="Suprema" w:eastAsia="Times New Roman" w:hAnsi="Suprema" w:cs="Times New Roman"/>
                <w:b/>
                <w:bCs/>
                <w:sz w:val="20"/>
                <w:szCs w:val="20"/>
                <w:lang w:eastAsia="es-BO"/>
              </w:rPr>
              <w:t>Subtema 3: El encuadre como herramienta estratégica en distintos formatos</w:t>
            </w:r>
          </w:p>
          <w:p w14:paraId="48246A25" w14:textId="77777777" w:rsidR="00725544" w:rsidRPr="00725544" w:rsidRDefault="00725544" w:rsidP="00725544">
            <w:pPr>
              <w:rPr>
                <w:rFonts w:ascii="Suprema" w:eastAsia="Times New Roman" w:hAnsi="Suprema" w:cs="Times New Roman"/>
                <w:sz w:val="20"/>
                <w:szCs w:val="20"/>
                <w:lang w:eastAsia="es-BO"/>
              </w:rPr>
            </w:pPr>
            <w:r w:rsidRPr="00725544">
              <w:rPr>
                <w:rFonts w:ascii="Suprema" w:eastAsia="Times New Roman" w:hAnsi="Suprema" w:cs="Times New Roman"/>
                <w:sz w:val="20"/>
                <w:szCs w:val="20"/>
                <w:lang w:eastAsia="es-BO"/>
              </w:rPr>
              <w:t>El encuadre se adapta según el formato, la plataforma y la audiencia. En contenidos para redes sociales, por ejemplo, se priorizan encuadres cerrados y dinámicos que mantengan la atención en pantallas pequeñas. En producciones institucionales o documentales, el encuadre tiende a reforzar la claridad informativa y la credibilidad del mensaje.</w:t>
            </w:r>
          </w:p>
          <w:p w14:paraId="3808DE4A" w14:textId="77777777" w:rsidR="00725544" w:rsidRPr="00725544" w:rsidRDefault="00725544" w:rsidP="00725544">
            <w:pPr>
              <w:rPr>
                <w:rFonts w:ascii="Suprema" w:eastAsia="Times New Roman" w:hAnsi="Suprema" w:cs="Times New Roman"/>
                <w:sz w:val="20"/>
                <w:szCs w:val="20"/>
                <w:lang w:eastAsia="es-BO"/>
              </w:rPr>
            </w:pPr>
            <w:r w:rsidRPr="00725544">
              <w:rPr>
                <w:rFonts w:ascii="Suprema" w:eastAsia="Times New Roman" w:hAnsi="Suprema" w:cs="Times New Roman"/>
                <w:sz w:val="20"/>
                <w:szCs w:val="20"/>
                <w:lang w:eastAsia="es-BO"/>
              </w:rPr>
              <w:t>Desde una perspectiva profesional, comprender el encuadre como una herramienta estratégica permite diseñar piezas audiovisuales coherentes con su contexto de difusión. Esta competencia resulta esencial para el desempeño en la industria audiovisual, donde las decisiones visuales deben responder tanto a criterios narrativos como a exigencias técnicas y comunicacionales.</w:t>
            </w:r>
          </w:p>
          <w:p w14:paraId="22DB936D" w14:textId="6A19B4AE" w:rsidR="00725544" w:rsidRPr="00F17B0C" w:rsidRDefault="00725544" w:rsidP="00725544">
            <w:pPr>
              <w:rPr>
                <w:rFonts w:ascii="Suprema" w:eastAsia="Times New Roman" w:hAnsi="Suprema" w:cs="Times New Roman"/>
                <w:sz w:val="20"/>
                <w:szCs w:val="20"/>
                <w:lang w:eastAsia="es-BO"/>
              </w:rPr>
            </w:pPr>
          </w:p>
        </w:tc>
      </w:tr>
    </w:tbl>
    <w:p w14:paraId="2613DDA5" w14:textId="7029468A" w:rsidR="00725544" w:rsidRDefault="00725544" w:rsidP="00725544">
      <w:pPr>
        <w:rPr>
          <w:rFonts w:ascii="Suprema" w:hAnsi="Suprema"/>
          <w:sz w:val="20"/>
          <w:szCs w:val="20"/>
        </w:rPr>
      </w:pPr>
    </w:p>
    <w:p w14:paraId="5D61132B" w14:textId="62D808E5" w:rsidR="00A36B16" w:rsidRPr="00F17B0C" w:rsidRDefault="00A36B16" w:rsidP="00725544">
      <w:pPr>
        <w:rPr>
          <w:rFonts w:ascii="Suprema" w:hAnsi="Suprema"/>
          <w:sz w:val="20"/>
          <w:szCs w:val="20"/>
        </w:rPr>
      </w:pPr>
    </w:p>
    <w:sectPr w:rsidR="00A36B16" w:rsidRPr="00F17B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uprema">
    <w:panose1 w:val="020B0303020000020003"/>
    <w:charset w:val="00"/>
    <w:family w:val="swiss"/>
    <w:pitch w:val="variable"/>
    <w:sig w:usb0="8000002F" w:usb1="4000E0FB"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E70B8"/>
    <w:multiLevelType w:val="multilevel"/>
    <w:tmpl w:val="021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1E1ABC"/>
    <w:multiLevelType w:val="hybridMultilevel"/>
    <w:tmpl w:val="ACBE8EC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16"/>
    <w:rsid w:val="00115AE4"/>
    <w:rsid w:val="001F1263"/>
    <w:rsid w:val="004245BA"/>
    <w:rsid w:val="005C1178"/>
    <w:rsid w:val="00701B2A"/>
    <w:rsid w:val="00706D59"/>
    <w:rsid w:val="00725544"/>
    <w:rsid w:val="008D3BE2"/>
    <w:rsid w:val="00A36B16"/>
    <w:rsid w:val="00DC023D"/>
    <w:rsid w:val="00EC1467"/>
    <w:rsid w:val="00F17B0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FDA89"/>
  <w15:chartTrackingRefBased/>
  <w15:docId w15:val="{41F92385-30A8-4826-828A-69B1B4803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16"/>
  </w:style>
  <w:style w:type="paragraph" w:styleId="Ttulo3">
    <w:name w:val="heading 3"/>
    <w:basedOn w:val="Normal"/>
    <w:next w:val="Normal"/>
    <w:link w:val="Ttulo3Car"/>
    <w:uiPriority w:val="9"/>
    <w:semiHidden/>
    <w:unhideWhenUsed/>
    <w:qFormat/>
    <w:rsid w:val="00115A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A36B16"/>
    <w:rPr>
      <w:b/>
      <w:bCs/>
    </w:rPr>
  </w:style>
  <w:style w:type="table" w:styleId="Tablaconcuadrcula">
    <w:name w:val="Table Grid"/>
    <w:basedOn w:val="Tablanormal"/>
    <w:uiPriority w:val="39"/>
    <w:rsid w:val="00A36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115AE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725544"/>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706D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75689">
      <w:bodyDiv w:val="1"/>
      <w:marLeft w:val="0"/>
      <w:marRight w:val="0"/>
      <w:marTop w:val="0"/>
      <w:marBottom w:val="0"/>
      <w:divBdr>
        <w:top w:val="none" w:sz="0" w:space="0" w:color="auto"/>
        <w:left w:val="none" w:sz="0" w:space="0" w:color="auto"/>
        <w:bottom w:val="none" w:sz="0" w:space="0" w:color="auto"/>
        <w:right w:val="none" w:sz="0" w:space="0" w:color="auto"/>
      </w:divBdr>
    </w:div>
    <w:div w:id="610360349">
      <w:bodyDiv w:val="1"/>
      <w:marLeft w:val="0"/>
      <w:marRight w:val="0"/>
      <w:marTop w:val="0"/>
      <w:marBottom w:val="0"/>
      <w:divBdr>
        <w:top w:val="none" w:sz="0" w:space="0" w:color="auto"/>
        <w:left w:val="none" w:sz="0" w:space="0" w:color="auto"/>
        <w:bottom w:val="none" w:sz="0" w:space="0" w:color="auto"/>
        <w:right w:val="none" w:sz="0" w:space="0" w:color="auto"/>
      </w:divBdr>
    </w:div>
    <w:div w:id="714549098">
      <w:bodyDiv w:val="1"/>
      <w:marLeft w:val="0"/>
      <w:marRight w:val="0"/>
      <w:marTop w:val="0"/>
      <w:marBottom w:val="0"/>
      <w:divBdr>
        <w:top w:val="none" w:sz="0" w:space="0" w:color="auto"/>
        <w:left w:val="none" w:sz="0" w:space="0" w:color="auto"/>
        <w:bottom w:val="none" w:sz="0" w:space="0" w:color="auto"/>
        <w:right w:val="none" w:sz="0" w:space="0" w:color="auto"/>
      </w:divBdr>
    </w:div>
    <w:div w:id="719978735">
      <w:bodyDiv w:val="1"/>
      <w:marLeft w:val="0"/>
      <w:marRight w:val="0"/>
      <w:marTop w:val="0"/>
      <w:marBottom w:val="0"/>
      <w:divBdr>
        <w:top w:val="none" w:sz="0" w:space="0" w:color="auto"/>
        <w:left w:val="none" w:sz="0" w:space="0" w:color="auto"/>
        <w:bottom w:val="none" w:sz="0" w:space="0" w:color="auto"/>
        <w:right w:val="none" w:sz="0" w:space="0" w:color="auto"/>
      </w:divBdr>
    </w:div>
    <w:div w:id="864564933">
      <w:bodyDiv w:val="1"/>
      <w:marLeft w:val="0"/>
      <w:marRight w:val="0"/>
      <w:marTop w:val="0"/>
      <w:marBottom w:val="0"/>
      <w:divBdr>
        <w:top w:val="none" w:sz="0" w:space="0" w:color="auto"/>
        <w:left w:val="none" w:sz="0" w:space="0" w:color="auto"/>
        <w:bottom w:val="none" w:sz="0" w:space="0" w:color="auto"/>
        <w:right w:val="none" w:sz="0" w:space="0" w:color="auto"/>
      </w:divBdr>
    </w:div>
    <w:div w:id="927540821">
      <w:bodyDiv w:val="1"/>
      <w:marLeft w:val="0"/>
      <w:marRight w:val="0"/>
      <w:marTop w:val="0"/>
      <w:marBottom w:val="0"/>
      <w:divBdr>
        <w:top w:val="none" w:sz="0" w:space="0" w:color="auto"/>
        <w:left w:val="none" w:sz="0" w:space="0" w:color="auto"/>
        <w:bottom w:val="none" w:sz="0" w:space="0" w:color="auto"/>
        <w:right w:val="none" w:sz="0" w:space="0" w:color="auto"/>
      </w:divBdr>
    </w:div>
    <w:div w:id="944733138">
      <w:bodyDiv w:val="1"/>
      <w:marLeft w:val="0"/>
      <w:marRight w:val="0"/>
      <w:marTop w:val="0"/>
      <w:marBottom w:val="0"/>
      <w:divBdr>
        <w:top w:val="none" w:sz="0" w:space="0" w:color="auto"/>
        <w:left w:val="none" w:sz="0" w:space="0" w:color="auto"/>
        <w:bottom w:val="none" w:sz="0" w:space="0" w:color="auto"/>
        <w:right w:val="none" w:sz="0" w:space="0" w:color="auto"/>
      </w:divBdr>
    </w:div>
    <w:div w:id="958875658">
      <w:bodyDiv w:val="1"/>
      <w:marLeft w:val="0"/>
      <w:marRight w:val="0"/>
      <w:marTop w:val="0"/>
      <w:marBottom w:val="0"/>
      <w:divBdr>
        <w:top w:val="none" w:sz="0" w:space="0" w:color="auto"/>
        <w:left w:val="none" w:sz="0" w:space="0" w:color="auto"/>
        <w:bottom w:val="none" w:sz="0" w:space="0" w:color="auto"/>
        <w:right w:val="none" w:sz="0" w:space="0" w:color="auto"/>
      </w:divBdr>
    </w:div>
    <w:div w:id="1129935533">
      <w:bodyDiv w:val="1"/>
      <w:marLeft w:val="0"/>
      <w:marRight w:val="0"/>
      <w:marTop w:val="0"/>
      <w:marBottom w:val="0"/>
      <w:divBdr>
        <w:top w:val="none" w:sz="0" w:space="0" w:color="auto"/>
        <w:left w:val="none" w:sz="0" w:space="0" w:color="auto"/>
        <w:bottom w:val="none" w:sz="0" w:space="0" w:color="auto"/>
        <w:right w:val="none" w:sz="0" w:space="0" w:color="auto"/>
      </w:divBdr>
    </w:div>
    <w:div w:id="1205481770">
      <w:bodyDiv w:val="1"/>
      <w:marLeft w:val="0"/>
      <w:marRight w:val="0"/>
      <w:marTop w:val="0"/>
      <w:marBottom w:val="0"/>
      <w:divBdr>
        <w:top w:val="none" w:sz="0" w:space="0" w:color="auto"/>
        <w:left w:val="none" w:sz="0" w:space="0" w:color="auto"/>
        <w:bottom w:val="none" w:sz="0" w:space="0" w:color="auto"/>
        <w:right w:val="none" w:sz="0" w:space="0" w:color="auto"/>
      </w:divBdr>
    </w:div>
    <w:div w:id="1224877519">
      <w:bodyDiv w:val="1"/>
      <w:marLeft w:val="0"/>
      <w:marRight w:val="0"/>
      <w:marTop w:val="0"/>
      <w:marBottom w:val="0"/>
      <w:divBdr>
        <w:top w:val="none" w:sz="0" w:space="0" w:color="auto"/>
        <w:left w:val="none" w:sz="0" w:space="0" w:color="auto"/>
        <w:bottom w:val="none" w:sz="0" w:space="0" w:color="auto"/>
        <w:right w:val="none" w:sz="0" w:space="0" w:color="auto"/>
      </w:divBdr>
    </w:div>
    <w:div w:id="1234202671">
      <w:bodyDiv w:val="1"/>
      <w:marLeft w:val="0"/>
      <w:marRight w:val="0"/>
      <w:marTop w:val="0"/>
      <w:marBottom w:val="0"/>
      <w:divBdr>
        <w:top w:val="none" w:sz="0" w:space="0" w:color="auto"/>
        <w:left w:val="none" w:sz="0" w:space="0" w:color="auto"/>
        <w:bottom w:val="none" w:sz="0" w:space="0" w:color="auto"/>
        <w:right w:val="none" w:sz="0" w:space="0" w:color="auto"/>
      </w:divBdr>
    </w:div>
    <w:div w:id="1375732397">
      <w:bodyDiv w:val="1"/>
      <w:marLeft w:val="0"/>
      <w:marRight w:val="0"/>
      <w:marTop w:val="0"/>
      <w:marBottom w:val="0"/>
      <w:divBdr>
        <w:top w:val="none" w:sz="0" w:space="0" w:color="auto"/>
        <w:left w:val="none" w:sz="0" w:space="0" w:color="auto"/>
        <w:bottom w:val="none" w:sz="0" w:space="0" w:color="auto"/>
        <w:right w:val="none" w:sz="0" w:space="0" w:color="auto"/>
      </w:divBdr>
    </w:div>
    <w:div w:id="1424182188">
      <w:bodyDiv w:val="1"/>
      <w:marLeft w:val="0"/>
      <w:marRight w:val="0"/>
      <w:marTop w:val="0"/>
      <w:marBottom w:val="0"/>
      <w:divBdr>
        <w:top w:val="none" w:sz="0" w:space="0" w:color="auto"/>
        <w:left w:val="none" w:sz="0" w:space="0" w:color="auto"/>
        <w:bottom w:val="none" w:sz="0" w:space="0" w:color="auto"/>
        <w:right w:val="none" w:sz="0" w:space="0" w:color="auto"/>
      </w:divBdr>
    </w:div>
    <w:div w:id="1427388533">
      <w:bodyDiv w:val="1"/>
      <w:marLeft w:val="0"/>
      <w:marRight w:val="0"/>
      <w:marTop w:val="0"/>
      <w:marBottom w:val="0"/>
      <w:divBdr>
        <w:top w:val="none" w:sz="0" w:space="0" w:color="auto"/>
        <w:left w:val="none" w:sz="0" w:space="0" w:color="auto"/>
        <w:bottom w:val="none" w:sz="0" w:space="0" w:color="auto"/>
        <w:right w:val="none" w:sz="0" w:space="0" w:color="auto"/>
      </w:divBdr>
    </w:div>
    <w:div w:id="1517385261">
      <w:bodyDiv w:val="1"/>
      <w:marLeft w:val="0"/>
      <w:marRight w:val="0"/>
      <w:marTop w:val="0"/>
      <w:marBottom w:val="0"/>
      <w:divBdr>
        <w:top w:val="none" w:sz="0" w:space="0" w:color="auto"/>
        <w:left w:val="none" w:sz="0" w:space="0" w:color="auto"/>
        <w:bottom w:val="none" w:sz="0" w:space="0" w:color="auto"/>
        <w:right w:val="none" w:sz="0" w:space="0" w:color="auto"/>
      </w:divBdr>
    </w:div>
    <w:div w:id="1876576542">
      <w:bodyDiv w:val="1"/>
      <w:marLeft w:val="0"/>
      <w:marRight w:val="0"/>
      <w:marTop w:val="0"/>
      <w:marBottom w:val="0"/>
      <w:divBdr>
        <w:top w:val="none" w:sz="0" w:space="0" w:color="auto"/>
        <w:left w:val="none" w:sz="0" w:space="0" w:color="auto"/>
        <w:bottom w:val="none" w:sz="0" w:space="0" w:color="auto"/>
        <w:right w:val="none" w:sz="0" w:space="0" w:color="auto"/>
      </w:divBdr>
    </w:div>
    <w:div w:id="1884056374">
      <w:bodyDiv w:val="1"/>
      <w:marLeft w:val="0"/>
      <w:marRight w:val="0"/>
      <w:marTop w:val="0"/>
      <w:marBottom w:val="0"/>
      <w:divBdr>
        <w:top w:val="none" w:sz="0" w:space="0" w:color="auto"/>
        <w:left w:val="none" w:sz="0" w:space="0" w:color="auto"/>
        <w:bottom w:val="none" w:sz="0" w:space="0" w:color="auto"/>
        <w:right w:val="none" w:sz="0" w:space="0" w:color="auto"/>
      </w:divBdr>
    </w:div>
    <w:div w:id="1885022965">
      <w:bodyDiv w:val="1"/>
      <w:marLeft w:val="0"/>
      <w:marRight w:val="0"/>
      <w:marTop w:val="0"/>
      <w:marBottom w:val="0"/>
      <w:divBdr>
        <w:top w:val="none" w:sz="0" w:space="0" w:color="auto"/>
        <w:left w:val="none" w:sz="0" w:space="0" w:color="auto"/>
        <w:bottom w:val="none" w:sz="0" w:space="0" w:color="auto"/>
        <w:right w:val="none" w:sz="0" w:space="0" w:color="auto"/>
      </w:divBdr>
    </w:div>
    <w:div w:id="1915359386">
      <w:bodyDiv w:val="1"/>
      <w:marLeft w:val="0"/>
      <w:marRight w:val="0"/>
      <w:marTop w:val="0"/>
      <w:marBottom w:val="0"/>
      <w:divBdr>
        <w:top w:val="none" w:sz="0" w:space="0" w:color="auto"/>
        <w:left w:val="none" w:sz="0" w:space="0" w:color="auto"/>
        <w:bottom w:val="none" w:sz="0" w:space="0" w:color="auto"/>
        <w:right w:val="none" w:sz="0" w:space="0" w:color="auto"/>
      </w:divBdr>
    </w:div>
    <w:div w:id="193766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6</Pages>
  <Words>1874</Words>
  <Characters>10307</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Vargas</dc:creator>
  <cp:keywords/>
  <dc:description/>
  <cp:lastModifiedBy>Yasser Vargas</cp:lastModifiedBy>
  <cp:revision>2</cp:revision>
  <dcterms:created xsi:type="dcterms:W3CDTF">2026-01-15T15:38:00Z</dcterms:created>
  <dcterms:modified xsi:type="dcterms:W3CDTF">2026-01-15T19:37:00Z</dcterms:modified>
</cp:coreProperties>
</file>