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HERRAMIENTA PÁGINA INICIO</w:t>
      </w:r>
    </w:p>
    <w:p w:rsidR="00000000" w:rsidDel="00000000" w:rsidP="00000000" w:rsidRDefault="00000000" w:rsidRPr="00000000" w14:paraId="00000002">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TEÓRICAS Impar</w:t>
      </w:r>
    </w:p>
    <w:p w:rsidR="00000000" w:rsidDel="00000000" w:rsidP="00000000" w:rsidRDefault="00000000" w:rsidRPr="00000000" w14:paraId="00000003">
      <w:pPr>
        <w:jc w:val="center"/>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004">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Apreciado equipo: Esta es la primera plantilla que deberán trabajar. Se compone de 5 secciones que son las mismas secciones que ustedes pueden observar en la asignatura tipo de Canvas. Lo que hemos procurado es obtener capturas de pantalla del mismo LMS para ir explicando, sección por sección, la forma cómo ustedes deben ir construyendo su asignatura. Dos recomendaciones importantes para que sean tomadas en cuenta para el llenado de esta y de las demás plantillas:</w:t>
      </w:r>
    </w:p>
    <w:p w:rsidR="00000000" w:rsidDel="00000000" w:rsidP="00000000" w:rsidRDefault="00000000" w:rsidRPr="00000000" w14:paraId="00000005">
      <w:pPr>
        <w:numPr>
          <w:ilvl w:val="0"/>
          <w:numId w:val="1"/>
        </w:numPr>
        <w:spacing w:after="0" w:before="24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trabajes fuera de las plantillas, vale decir, no presente material adicional (todo debe estar incluido en las plantillas).</w:t>
      </w:r>
    </w:p>
    <w:p w:rsidR="00000000" w:rsidDel="00000000" w:rsidP="00000000" w:rsidRDefault="00000000" w:rsidRPr="00000000" w14:paraId="00000006">
      <w:pPr>
        <w:numPr>
          <w:ilvl w:val="0"/>
          <w:numId w:val="1"/>
        </w:numPr>
        <w:spacing w:after="240" w:before="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Usa un lenguaje claro, directo y amable tomando en cuenta que se trata de la producción de contenidos que serán leídos por los estudiantes.</w:t>
      </w:r>
    </w:p>
    <w:p w:rsidR="00000000" w:rsidDel="00000000" w:rsidP="00000000" w:rsidRDefault="00000000" w:rsidRPr="00000000" w14:paraId="00000007">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¡Comencemos!</w:t>
      </w:r>
    </w:p>
    <w:p w:rsidR="00000000" w:rsidDel="00000000" w:rsidP="00000000" w:rsidRDefault="00000000" w:rsidRPr="00000000" w14:paraId="00000008">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jc w:val="center"/>
        <w:rPr>
          <w:rFonts w:ascii="Calibri" w:cs="Calibri" w:eastAsia="Calibri" w:hAnsi="Calibri"/>
          <w:sz w:val="24"/>
          <w:szCs w:val="24"/>
        </w:rPr>
      </w:pPr>
      <w:r w:rsidDel="00000000" w:rsidR="00000000" w:rsidRPr="00000000">
        <w:rPr>
          <w:rtl w:val="0"/>
        </w:rPr>
      </w:r>
    </w:p>
    <w:tbl>
      <w:tblPr>
        <w:tblStyle w:val="Table1"/>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25"/>
        <w:gridCol w:w="6390"/>
        <w:tblGridChange w:id="0">
          <w:tblGrid>
            <w:gridCol w:w="3525"/>
            <w:gridCol w:w="6390"/>
          </w:tblGrid>
        </w:tblGridChange>
      </w:tblGrid>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0A">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Carrera(s)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Derecho</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0C">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Asignatura (Código y 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Derecho Administrativo</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0E">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Carga Horaria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80</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10">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Docente constructor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Juan Esteban Pérez Cáceres</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12">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entrega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17/10/2025</w:t>
            </w:r>
          </w:p>
        </w:tc>
      </w:tr>
    </w:tbl>
    <w:p w:rsidR="00000000" w:rsidDel="00000000" w:rsidP="00000000" w:rsidRDefault="00000000" w:rsidRPr="00000000" w14:paraId="00000014">
      <w:pPr>
        <w:rPr>
          <w:rFonts w:ascii="Calibri" w:cs="Calibri" w:eastAsia="Calibri" w:hAnsi="Calibri"/>
          <w:sz w:val="24"/>
          <w:szCs w:val="24"/>
        </w:rPr>
      </w:pPr>
      <w:r w:rsidDel="00000000" w:rsidR="00000000" w:rsidRPr="00000000">
        <w:rPr>
          <w:rtl w:val="0"/>
        </w:rPr>
      </w:r>
    </w:p>
    <w:tbl>
      <w:tblPr>
        <w:tblStyle w:val="Table2"/>
        <w:tblW w:w="11370.0" w:type="dxa"/>
        <w:jc w:val="left"/>
        <w:tblInd w:w="-9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60"/>
        <w:gridCol w:w="5910"/>
        <w:tblGridChange w:id="0">
          <w:tblGrid>
            <w:gridCol w:w="5460"/>
            <w:gridCol w:w="5910"/>
          </w:tblGrid>
        </w:tblGridChange>
      </w:tblGrid>
      <w:tr>
        <w:trPr>
          <w:cantSplit w:val="0"/>
          <w:trHeight w:val="450" w:hRule="atLeast"/>
          <w:tblHeader w:val="0"/>
        </w:trPr>
        <w:tc>
          <w:tcPr>
            <w:gridSpan w:val="2"/>
            <w:tcBorders>
              <w:top w:color="000000" w:space="0" w:sz="7" w:val="single"/>
              <w:left w:color="000000" w:space="0" w:sz="7" w:val="single"/>
              <w:bottom w:color="000000" w:space="0" w:sz="7" w:val="single"/>
              <w:right w:color="000000" w:space="0" w:sz="7" w:val="single"/>
            </w:tcBorders>
            <w:shd w:fill="cc99ff" w:val="clear"/>
            <w:tcMar>
              <w:top w:w="60.0" w:type="dxa"/>
              <w:left w:w="60.0" w:type="dxa"/>
              <w:bottom w:w="60.0" w:type="dxa"/>
              <w:right w:w="60.0" w:type="dxa"/>
            </w:tcMar>
            <w:vAlign w:val="top"/>
          </w:tcPr>
          <w:p w:rsidR="00000000" w:rsidDel="00000000" w:rsidP="00000000" w:rsidRDefault="00000000" w:rsidRPr="00000000" w14:paraId="00000015">
            <w:pPr>
              <w:spacing w:after="120"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Mensaje de bienvenida</w:t>
            </w:r>
          </w:p>
        </w:tc>
      </w:tr>
      <w:tr>
        <w:trPr>
          <w:cantSplit w:val="0"/>
          <w:trHeight w:val="870.999755859375" w:hRule="atLeast"/>
          <w:tblHeader w:val="0"/>
        </w:trPr>
        <w:tc>
          <w:tcPr>
            <w:gridSpan w:val="2"/>
            <w:tcBorders>
              <w:top w:color="000000" w:space="0" w:sz="7" w:val="single"/>
              <w:left w:color="000000" w:space="0" w:sz="7" w:val="single"/>
              <w:bottom w:color="000000" w:space="0" w:sz="7" w:val="single"/>
              <w:right w:color="000000" w:space="0" w:sz="7" w:val="single"/>
            </w:tcBorders>
            <w:shd w:fill="cccccc" w:val="clear"/>
            <w:tcMar>
              <w:top w:w="60.0" w:type="dxa"/>
              <w:left w:w="60.0" w:type="dxa"/>
              <w:bottom w:w="60.0" w:type="dxa"/>
              <w:right w:w="60.0" w:type="dxa"/>
            </w:tcMar>
            <w:vAlign w:val="top"/>
          </w:tcPr>
          <w:p w:rsidR="00000000" w:rsidDel="00000000" w:rsidP="00000000" w:rsidRDefault="00000000" w:rsidRPr="00000000" w14:paraId="00000017">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Redacta un párrafo de entre 70 y 80 palabras cuyo objetivo sea: el objeto de la asignatura (qué enseña, de qué se trata), cuál es su máxima importancia, y una síntesis muy breve de su contenido)</w:t>
            </w:r>
          </w:p>
        </w:tc>
      </w:tr>
      <w:tr>
        <w:trPr>
          <w:cantSplit w:val="0"/>
          <w:trHeight w:val="1110" w:hRule="atLeast"/>
          <w:tblHeader w:val="0"/>
        </w:trPr>
        <w:tc>
          <w:tcPr>
            <w:gridSpan w:val="2"/>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Sean todos bienvenidos a la materia de Derecho Administrativo, cuya importancia radica en aprender de manera práctica los actos administrativos y los medios de impugnación, los procesos de contratación, los contratos administrativos de enajenación de bienes, arrendamiento, comodato y donación; la responsabilidad por la función pública, los delitos por la función pública; la jurisdicción y competencia en materia administrativa para el conocimiento de procesos coactivo fiscales, penales, contenciosos y contenciosos administrativos.</w:t>
            </w:r>
          </w:p>
          <w:p w:rsidR="00000000" w:rsidDel="00000000" w:rsidP="00000000" w:rsidRDefault="00000000" w:rsidRPr="00000000" w14:paraId="0000001A">
            <w:pPr>
              <w:rPr>
                <w:rFonts w:ascii="Calibri" w:cs="Calibri" w:eastAsia="Calibri" w:hAnsi="Calibri"/>
                <w:sz w:val="24"/>
                <w:szCs w:val="24"/>
              </w:rPr>
            </w:pPr>
            <w:r w:rsidDel="00000000" w:rsidR="00000000" w:rsidRPr="00000000">
              <w:rPr>
                <w:rtl w:val="0"/>
              </w:rPr>
            </w:r>
          </w:p>
        </w:tc>
      </w:tr>
      <w:tr>
        <w:trPr>
          <w:cantSplit w:val="0"/>
          <w:trHeight w:val="420" w:hRule="atLeast"/>
          <w:tblHeader w:val="0"/>
        </w:trPr>
        <w:tc>
          <w:tcPr>
            <w:gridSpan w:val="2"/>
            <w:tcBorders>
              <w:top w:color="000000" w:space="0" w:sz="7" w:val="single"/>
              <w:left w:color="000000" w:space="0" w:sz="7" w:val="single"/>
              <w:bottom w:color="000000" w:space="0" w:sz="7" w:val="single"/>
              <w:right w:color="000000" w:space="0" w:sz="7" w:val="single"/>
            </w:tcBorders>
            <w:shd w:fill="cc99ff" w:val="clear"/>
            <w:tcMar>
              <w:top w:w="60.0" w:type="dxa"/>
              <w:left w:w="60.0" w:type="dxa"/>
              <w:bottom w:w="60.0" w:type="dxa"/>
              <w:right w:w="60.0" w:type="dxa"/>
            </w:tcMar>
            <w:vAlign w:val="top"/>
          </w:tcPr>
          <w:p w:rsidR="00000000" w:rsidDel="00000000" w:rsidP="00000000" w:rsidRDefault="00000000" w:rsidRPr="00000000" w14:paraId="0000001C">
            <w:pPr>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Video de bienvenida a la asignatura </w:t>
            </w:r>
          </w:p>
        </w:tc>
      </w:tr>
      <w:tr>
        <w:trPr>
          <w:cantSplit w:val="0"/>
          <w:trHeight w:val="420" w:hRule="atLeast"/>
          <w:tblHeader w:val="0"/>
        </w:trPr>
        <w:tc>
          <w:tcPr>
            <w:gridSpan w:val="2"/>
            <w:tcBorders>
              <w:top w:color="000000" w:space="0" w:sz="7" w:val="single"/>
              <w:left w:color="000000" w:space="0" w:sz="7" w:val="single"/>
              <w:bottom w:color="000000" w:space="0" w:sz="7" w:val="single"/>
              <w:right w:color="000000" w:space="0" w:sz="7" w:val="single"/>
            </w:tcBorders>
            <w:shd w:fill="cccccc" w:val="clear"/>
            <w:tcMar>
              <w:top w:w="60.0" w:type="dxa"/>
              <w:left w:w="60.0" w:type="dxa"/>
              <w:bottom w:w="60.0" w:type="dxa"/>
              <w:right w:w="60.0" w:type="dxa"/>
            </w:tcMar>
            <w:vAlign w:val="top"/>
          </w:tcPr>
          <w:p w:rsidR="00000000" w:rsidDel="00000000" w:rsidP="00000000" w:rsidRDefault="00000000" w:rsidRPr="00000000" w14:paraId="0000001E">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Utiliza la herramienta enlazada a continuación para compartir la información necesaria con nuestro equipo. Con tu aporte, podremos elaborar los guiones audiovisuales que facilitarán la transmisión efectiva de los conceptos clave de esta asignatura, destacando la importancia de los aprendizajes y competencias que buscamos desarrollar en nuestros estudiantes para su futura carrera profesional.</w:t>
            </w:r>
          </w:p>
        </w:tc>
      </w:tr>
      <w:tr>
        <w:trPr>
          <w:cantSplit w:val="0"/>
          <w:trHeight w:val="831.9140625" w:hRule="atLeast"/>
          <w:tblHeader w:val="0"/>
        </w:trPr>
        <w:tc>
          <w:tcPr>
            <w:gridSpan w:val="2"/>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20">
            <w:pPr>
              <w:rPr>
                <w:rFonts w:ascii="Calibri" w:cs="Calibri" w:eastAsia="Calibri" w:hAnsi="Calibri"/>
                <w:sz w:val="24"/>
                <w:szCs w:val="24"/>
              </w:rPr>
            </w:pPr>
            <w:hyperlink r:id="rId7">
              <w:r w:rsidDel="00000000" w:rsidR="00000000" w:rsidRPr="00000000">
                <w:rPr>
                  <w:rFonts w:ascii="Calibri" w:cs="Calibri" w:eastAsia="Calibri" w:hAnsi="Calibri"/>
                  <w:color w:val="0000ee"/>
                  <w:sz w:val="24"/>
                  <w:szCs w:val="24"/>
                  <w:u w:val="single"/>
                  <w:rtl w:val="0"/>
                </w:rPr>
                <w:t xml:space="preserve">DAD-611 Guiones Materia - Teoricas.docx</w:t>
              </w:r>
            </w:hyperlink>
            <w:r w:rsidDel="00000000" w:rsidR="00000000" w:rsidRPr="00000000">
              <w:rPr>
                <w:rtl w:val="0"/>
              </w:rPr>
            </w:r>
          </w:p>
        </w:tc>
      </w:tr>
      <w:tr>
        <w:trPr>
          <w:cantSplit w:val="0"/>
          <w:trHeight w:val="570" w:hRule="atLeast"/>
          <w:tblHeader w:val="0"/>
        </w:trPr>
        <w:tc>
          <w:tcPr>
            <w:gridSpan w:val="2"/>
            <w:tcBorders>
              <w:top w:color="000000" w:space="0" w:sz="7" w:val="single"/>
              <w:left w:color="000000" w:space="0" w:sz="7" w:val="single"/>
              <w:bottom w:color="000000" w:space="0" w:sz="7" w:val="single"/>
              <w:right w:color="000000" w:space="0" w:sz="7" w:val="single"/>
            </w:tcBorders>
            <w:shd w:fill="cc99ff" w:val="clear"/>
            <w:tcMar>
              <w:top w:w="60.0" w:type="dxa"/>
              <w:left w:w="60.0" w:type="dxa"/>
              <w:bottom w:w="60.0" w:type="dxa"/>
              <w:right w:w="60.0" w:type="dxa"/>
            </w:tcMar>
            <w:vAlign w:val="top"/>
          </w:tcPr>
          <w:p w:rsidR="00000000" w:rsidDel="00000000" w:rsidP="00000000" w:rsidRDefault="00000000" w:rsidRPr="00000000" w14:paraId="00000022">
            <w:pPr>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Temas</w:t>
            </w:r>
          </w:p>
        </w:tc>
      </w:tr>
      <w:tr>
        <w:trPr>
          <w:cantSplit w:val="0"/>
          <w:trHeight w:val="1419.4921875" w:hRule="atLeast"/>
          <w:tblHeader w:val="0"/>
        </w:trPr>
        <w:tc>
          <w:tcPr>
            <w:gridSpan w:val="2"/>
            <w:tcBorders>
              <w:top w:color="000000" w:space="0" w:sz="7" w:val="single"/>
              <w:left w:color="000000" w:space="0" w:sz="7" w:val="single"/>
              <w:bottom w:color="000000" w:space="0" w:sz="7" w:val="single"/>
              <w:right w:color="000000" w:space="0" w:sz="7" w:val="single"/>
            </w:tcBorders>
            <w:shd w:fill="cccccc" w:val="clear"/>
            <w:tcMar>
              <w:top w:w="60.0" w:type="dxa"/>
              <w:left w:w="60.0" w:type="dxa"/>
              <w:bottom w:w="60.0" w:type="dxa"/>
              <w:right w:w="60.0" w:type="dxa"/>
            </w:tcMar>
            <w:vAlign w:val="top"/>
          </w:tcPr>
          <w:p w:rsidR="00000000" w:rsidDel="00000000" w:rsidP="00000000" w:rsidRDefault="00000000" w:rsidRPr="00000000" w14:paraId="0000002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Redacta un párrafo de entre 50 y 60 palabras que refuerce los contenidos principales/eje de la asignatura y su valor o importancia en la formación del estudiante. </w:t>
            </w:r>
          </w:p>
          <w:p w:rsidR="00000000" w:rsidDel="00000000" w:rsidP="00000000" w:rsidRDefault="00000000" w:rsidRPr="00000000" w14:paraId="0000002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Luego enuncia o puntea el contenido mínimo de la asignatura (emplea los títulos de las Unidades temáticas que conforman la asignatura. Obtiene esta información de la herramienta 00).</w:t>
            </w:r>
          </w:p>
          <w:p w:rsidR="00000000" w:rsidDel="00000000" w:rsidP="00000000" w:rsidRDefault="00000000" w:rsidRPr="00000000" w14:paraId="00000026">
            <w:pPr>
              <w:rPr>
                <w:rFonts w:ascii="Calibri" w:cs="Calibri" w:eastAsia="Calibri" w:hAnsi="Calibri"/>
                <w:sz w:val="24"/>
                <w:szCs w:val="24"/>
              </w:rPr>
            </w:pPr>
            <w:r w:rsidDel="00000000" w:rsidR="00000000" w:rsidRPr="00000000">
              <w:rPr>
                <w:rtl w:val="0"/>
              </w:rPr>
            </w:r>
          </w:p>
        </w:tc>
      </w:tr>
      <w:tr>
        <w:trPr>
          <w:cantSplit w:val="0"/>
          <w:trHeight w:val="615" w:hRule="atLeast"/>
          <w:tblHeader w:val="0"/>
        </w:trPr>
        <w:tc>
          <w:tcPr>
            <w:gridSpan w:val="2"/>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28">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Derecho Administrativo es esencial en la formación del estudiante porque le permite comprender la organización, funcionamiento y control de la Administración Pública. Su estudio fomenta el respeto a la legalidad, la transparencia y la responsabilidad en el ejercicio de la función pública, fortaleciendo así la ética profesional y el compromiso con una gestión pública eficiente y justa.</w:t>
            </w:r>
            <w:r w:rsidDel="00000000" w:rsidR="00000000" w:rsidRPr="00000000">
              <w:rPr>
                <w:rtl w:val="0"/>
              </w:rPr>
            </w:r>
          </w:p>
          <w:p w:rsidR="00000000" w:rsidDel="00000000" w:rsidP="00000000" w:rsidRDefault="00000000" w:rsidRPr="00000000" w14:paraId="00000029">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A">
            <w:pPr>
              <w:numPr>
                <w:ilvl w:val="0"/>
                <w:numId w:val="2"/>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El Derecho Administrativo.</w:t>
            </w:r>
          </w:p>
          <w:p w:rsidR="00000000" w:rsidDel="00000000" w:rsidP="00000000" w:rsidRDefault="00000000" w:rsidRPr="00000000" w14:paraId="0000002B">
            <w:pPr>
              <w:numPr>
                <w:ilvl w:val="0"/>
                <w:numId w:val="2"/>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Los Actos  Administrativos.</w:t>
            </w:r>
          </w:p>
          <w:p w:rsidR="00000000" w:rsidDel="00000000" w:rsidP="00000000" w:rsidRDefault="00000000" w:rsidRPr="00000000" w14:paraId="0000002C">
            <w:pPr>
              <w:numPr>
                <w:ilvl w:val="0"/>
                <w:numId w:val="2"/>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Los Servidores Públicos.</w:t>
            </w:r>
          </w:p>
          <w:p w:rsidR="00000000" w:rsidDel="00000000" w:rsidP="00000000" w:rsidRDefault="00000000" w:rsidRPr="00000000" w14:paraId="0000002D">
            <w:pPr>
              <w:numPr>
                <w:ilvl w:val="0"/>
                <w:numId w:val="2"/>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La Responsabilidad de la Función Pública.</w:t>
            </w:r>
          </w:p>
          <w:p w:rsidR="00000000" w:rsidDel="00000000" w:rsidP="00000000" w:rsidRDefault="00000000" w:rsidRPr="00000000" w14:paraId="0000002E">
            <w:pPr>
              <w:numPr>
                <w:ilvl w:val="0"/>
                <w:numId w:val="2"/>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Los Delitos por la Función Pública.</w:t>
            </w:r>
          </w:p>
          <w:p w:rsidR="00000000" w:rsidDel="00000000" w:rsidP="00000000" w:rsidRDefault="00000000" w:rsidRPr="00000000" w14:paraId="0000002F">
            <w:pPr>
              <w:numPr>
                <w:ilvl w:val="0"/>
                <w:numId w:val="2"/>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El Proceso Coactivo Fiscal.</w:t>
            </w:r>
          </w:p>
          <w:p w:rsidR="00000000" w:rsidDel="00000000" w:rsidP="00000000" w:rsidRDefault="00000000" w:rsidRPr="00000000" w14:paraId="00000030">
            <w:pPr>
              <w:numPr>
                <w:ilvl w:val="0"/>
                <w:numId w:val="2"/>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El Proceso Contencioso y el Contencioso Administrativo.</w:t>
            </w:r>
          </w:p>
        </w:tc>
      </w:tr>
      <w:tr>
        <w:trPr>
          <w:cantSplit w:val="0"/>
          <w:trHeight w:val="525" w:hRule="atLeast"/>
          <w:tblHeader w:val="0"/>
        </w:trPr>
        <w:tc>
          <w:tcPr>
            <w:gridSpan w:val="2"/>
            <w:tcBorders>
              <w:top w:color="000000" w:space="0" w:sz="7" w:val="single"/>
              <w:left w:color="000000" w:space="0" w:sz="7" w:val="single"/>
              <w:bottom w:color="000000" w:space="0" w:sz="7" w:val="single"/>
              <w:right w:color="000000" w:space="0" w:sz="7" w:val="single"/>
            </w:tcBorders>
            <w:shd w:fill="cc99ff" w:val="clear"/>
            <w:tcMar>
              <w:top w:w="60.0" w:type="dxa"/>
              <w:left w:w="60.0" w:type="dxa"/>
              <w:bottom w:w="60.0" w:type="dxa"/>
              <w:right w:w="60.0" w:type="dxa"/>
            </w:tcMar>
            <w:vAlign w:val="top"/>
          </w:tcPr>
          <w:p w:rsidR="00000000" w:rsidDel="00000000" w:rsidP="00000000" w:rsidRDefault="00000000" w:rsidRPr="00000000" w14:paraId="00000032">
            <w:pPr>
              <w:rPr>
                <w:rFonts w:ascii="Calibri" w:cs="Calibri" w:eastAsia="Calibri" w:hAnsi="Calibri"/>
                <w:b w:val="1"/>
                <w:bCs w:val="1"/>
                <w:sz w:val="26"/>
                <w:szCs w:val="26"/>
              </w:rPr>
            </w:pPr>
            <w:r w:rsidDel="00000000" w:rsidR="00000000" w:rsidRPr="00000000">
              <w:rPr>
                <w:rFonts w:ascii="Calibri" w:cs="Calibri" w:eastAsia="Calibri" w:hAnsi="Calibri"/>
                <w:b w:val="1"/>
                <w:bCs w:val="1"/>
                <w:sz w:val="30"/>
                <w:szCs w:val="30"/>
                <w:rtl w:val="0"/>
              </w:rPr>
              <w:t xml:space="preserve">Aprendizajes esperados </w:t>
            </w:r>
            <w:r w:rsidDel="00000000" w:rsidR="00000000" w:rsidRPr="00000000">
              <w:rPr>
                <w:rtl w:val="0"/>
              </w:rPr>
            </w:r>
          </w:p>
        </w:tc>
      </w:tr>
      <w:tr>
        <w:trPr>
          <w:cantSplit w:val="0"/>
          <w:trHeight w:val="1038.760986328125" w:hRule="atLeast"/>
          <w:tblHeader w:val="0"/>
        </w:trPr>
        <w:tc>
          <w:tcPr>
            <w:gridSpan w:val="2"/>
            <w:tcBorders>
              <w:top w:color="000000" w:space="0" w:sz="7" w:val="single"/>
              <w:left w:color="000000" w:space="0" w:sz="7" w:val="single"/>
              <w:bottom w:color="000000" w:space="0" w:sz="7" w:val="single"/>
              <w:right w:color="000000" w:space="0" w:sz="7" w:val="single"/>
            </w:tcBorders>
            <w:shd w:fill="cccccc" w:val="clear"/>
            <w:tcMar>
              <w:top w:w="60.0" w:type="dxa"/>
              <w:left w:w="60.0" w:type="dxa"/>
              <w:bottom w:w="60.0" w:type="dxa"/>
              <w:right w:w="60.0" w:type="dxa"/>
            </w:tcMar>
            <w:vAlign w:val="top"/>
          </w:tcPr>
          <w:p w:rsidR="00000000" w:rsidDel="00000000" w:rsidP="00000000" w:rsidRDefault="00000000" w:rsidRPr="00000000" w14:paraId="00000034">
            <w:pP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Copia de la herramienta 00 que trabajaste anteriormente, los elementos de competencia por Hito de la asignatura. Si consideras que es pertinente añadir otro elemento de competencia, puedes hacerlo.</w:t>
            </w:r>
            <w:r w:rsidDel="00000000" w:rsidR="00000000" w:rsidRPr="00000000">
              <w:rPr>
                <w:rtl w:val="0"/>
              </w:rPr>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36">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HITO 01</w:t>
            </w:r>
          </w:p>
        </w:tc>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HITO 02</w:t>
            </w:r>
            <w:r w:rsidDel="00000000" w:rsidR="00000000" w:rsidRPr="00000000">
              <w:rPr>
                <w:rtl w:val="0"/>
              </w:rPr>
            </w:r>
          </w:p>
        </w:tc>
      </w:tr>
      <w:tr>
        <w:trPr>
          <w:cantSplit w:val="0"/>
          <w:trHeight w:val="132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i w:val="1"/>
                <w:iCs w:val="1"/>
                <w:sz w:val="24"/>
                <w:szCs w:val="24"/>
                <w:rtl w:val="0"/>
              </w:rPr>
              <w:t xml:space="preserve">Analiza la organización política, económica y jurídica del Estado, comprendiendo su estructura y funciones, aplicando principios constitucionales en contextos reales y asumiendo una actitud crítica, participativa y comprometida con el bienestar </w:t>
            </w:r>
            <w:r w:rsidDel="00000000" w:rsidR="00000000" w:rsidRPr="00000000">
              <w:rPr>
                <w:rtl w:val="0"/>
              </w:rPr>
            </w:r>
          </w:p>
          <w:p w:rsidR="00000000" w:rsidDel="00000000" w:rsidP="00000000" w:rsidRDefault="00000000" w:rsidRPr="00000000" w14:paraId="0000003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B">
            <w:pPr>
              <w:rPr>
                <w:rFonts w:ascii="Calibri" w:cs="Calibri" w:eastAsia="Calibri" w:hAnsi="Calibri"/>
                <w:sz w:val="24"/>
                <w:szCs w:val="2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3C">
            <w:pPr>
              <w:rPr>
                <w:i w:val="1"/>
                <w:iCs w:val="1"/>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i w:val="1"/>
                <w:iCs w:val="1"/>
                <w:sz w:val="24"/>
                <w:szCs w:val="24"/>
                <w:rtl w:val="0"/>
              </w:rPr>
              <w:t xml:space="preserve">Comprende la evolución de la Ciencia de la Administración, aplicando sus conceptos en situaciones reales; interpreta el Derecho Administrativo, identificando la personalidad del Estado y de la Administración con responsabilidad; analiza la responsabilidad del Estado, argumentando con base legal y ética; y diseña estructuras administrativas, diferenciando la centralización y descentralización para optimizar la gestión pública.</w:t>
            </w:r>
            <w:r w:rsidDel="00000000" w:rsidR="00000000" w:rsidRPr="00000000">
              <w:rPr>
                <w:rtl w:val="0"/>
              </w:rPr>
            </w:r>
          </w:p>
          <w:p w:rsidR="00000000" w:rsidDel="00000000" w:rsidP="00000000" w:rsidRDefault="00000000" w:rsidRPr="00000000" w14:paraId="0000003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F">
            <w:pPr>
              <w:rPr>
                <w:rFonts w:ascii="Calibri" w:cs="Calibri" w:eastAsia="Calibri" w:hAnsi="Calibri"/>
                <w:sz w:val="24"/>
                <w:szCs w:val="24"/>
              </w:rPr>
            </w:pPr>
            <w:r w:rsidDel="00000000" w:rsidR="00000000" w:rsidRPr="00000000">
              <w:rPr>
                <w:rtl w:val="0"/>
              </w:rPr>
            </w:r>
          </w:p>
        </w:tc>
      </w:tr>
      <w:tr>
        <w:trPr>
          <w:cantSplit w:val="0"/>
          <w:trHeight w:val="73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4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Pregunta reflexiva:¿Cómo se organiza y estructura el Estado Boliviano?.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Pregunta reflexiva:</w:t>
            </w:r>
            <w:r w:rsidDel="00000000" w:rsidR="00000000" w:rsidRPr="00000000">
              <w:rPr>
                <w:rFonts w:ascii="Calibri" w:cs="Calibri" w:eastAsia="Calibri" w:hAnsi="Calibri"/>
                <w:sz w:val="24"/>
                <w:szCs w:val="24"/>
                <w:rtl w:val="0"/>
              </w:rPr>
              <w:t xml:space="preserve"> ¿Cómo puedo determinar las atribuciones y competencias de los diferentes niveles de gobierno y órganos del Estado?</w:t>
            </w:r>
          </w:p>
        </w:tc>
      </w:tr>
      <w:tr>
        <w:trPr>
          <w:cantSplit w:val="0"/>
          <w:tblHeader w:val="0"/>
        </w:trPr>
        <w:tc>
          <w:tcPr>
            <w:gridSpan w:val="2"/>
            <w:tcBorders>
              <w:top w:color="000000" w:space="0" w:sz="7" w:val="single"/>
              <w:left w:color="000000" w:space="0" w:sz="7" w:val="single"/>
              <w:bottom w:color="000000" w:space="0" w:sz="7" w:val="single"/>
              <w:right w:color="000000" w:space="0" w:sz="7" w:val="single"/>
            </w:tcBorders>
            <w:shd w:fill="cccccc" w:val="clear"/>
            <w:tcMar>
              <w:top w:w="60.0" w:type="dxa"/>
              <w:left w:w="60.0" w:type="dxa"/>
              <w:bottom w:w="60.0" w:type="dxa"/>
              <w:right w:w="60.0" w:type="dxa"/>
            </w:tcMar>
            <w:vAlign w:val="top"/>
          </w:tcPr>
          <w:p w:rsidR="00000000" w:rsidDel="00000000" w:rsidP="00000000" w:rsidRDefault="00000000" w:rsidRPr="00000000" w14:paraId="0000004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r>
      <w:tr>
        <w:trPr>
          <w:cantSplit w:val="0"/>
          <w:trHeight w:val="73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44">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HITO 03</w:t>
            </w:r>
          </w:p>
        </w:tc>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HITO 04</w:t>
            </w:r>
            <w:r w:rsidDel="00000000" w:rsidR="00000000" w:rsidRPr="00000000">
              <w:rPr>
                <w:rtl w:val="0"/>
              </w:rPr>
            </w:r>
          </w:p>
        </w:tc>
      </w:tr>
      <w:tr>
        <w:trPr>
          <w:cantSplit w:val="0"/>
          <w:trHeight w:val="73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46">
            <w:pPr>
              <w:rPr>
                <w:i w:val="1"/>
                <w:iCs w:val="1"/>
                <w:sz w:val="24"/>
                <w:szCs w:val="24"/>
              </w:rPr>
            </w:pPr>
            <w:r w:rsidDel="00000000" w:rsidR="00000000" w:rsidRPr="00000000">
              <w:rPr>
                <w:rtl w:val="0"/>
              </w:rPr>
            </w:r>
          </w:p>
          <w:p w:rsidR="00000000" w:rsidDel="00000000" w:rsidP="00000000" w:rsidRDefault="00000000" w:rsidRPr="00000000" w14:paraId="00000047">
            <w:pPr>
              <w:rPr>
                <w:rFonts w:ascii="Calibri" w:cs="Calibri" w:eastAsia="Calibri" w:hAnsi="Calibri"/>
                <w:sz w:val="24"/>
                <w:szCs w:val="24"/>
              </w:rPr>
            </w:pPr>
            <w:r w:rsidDel="00000000" w:rsidR="00000000" w:rsidRPr="00000000">
              <w:rPr>
                <w:i w:val="1"/>
                <w:iCs w:val="1"/>
                <w:sz w:val="24"/>
                <w:szCs w:val="24"/>
                <w:rtl w:val="0"/>
              </w:rPr>
              <w:t xml:space="preserve">Analiza los actos y contratos administrativos con ética y transparencia; interpreta la economía plural del Estado valorando su impacto social; evalúa el control fiscal y la participación ciudadana promoviendo la rendición de cuentas; gestiona contratos y concesiones públicas aplicando la normativa vigente; identifica el dominio público y los procedimientos administrativos con responsabilidad; y aplica los procesos de contratación e impugnación conforme a la legalidad, fomentando la eficiencia y la transparencia en la gestión pública.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48">
            <w:pPr>
              <w:rPr>
                <w:i w:val="1"/>
                <w:iCs w:val="1"/>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i w:val="1"/>
                <w:iCs w:val="1"/>
                <w:sz w:val="24"/>
                <w:szCs w:val="24"/>
                <w:rtl w:val="0"/>
              </w:rPr>
              <w:t xml:space="preserve">Analiza las clases, derechos, obligaciones y prohibiciones de los servidores públicos promoviendo la ética y la transparencia; evalúa la responsabilidad por la función pública asumiendo criterios de legalidad y rendición de cuentas; identifica los delitos vinculados a la función pública previniendo conductas corruptas; y aplica los procesos administrativos, coactivos, contenciosos y de expropiación conforme a la normativa vigente y con responsabilidad institucional.</w:t>
            </w:r>
            <w:r w:rsidDel="00000000" w:rsidR="00000000" w:rsidRPr="00000000">
              <w:rPr>
                <w:rtl w:val="0"/>
              </w:rPr>
            </w:r>
          </w:p>
        </w:tc>
      </w:tr>
      <w:tr>
        <w:trPr>
          <w:cantSplit w:val="0"/>
          <w:trHeight w:val="73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4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Pregunta reflexiva:</w:t>
            </w:r>
            <w:r w:rsidDel="00000000" w:rsidR="00000000" w:rsidRPr="00000000">
              <w:rPr>
                <w:rFonts w:ascii="Calibri" w:cs="Calibri" w:eastAsia="Calibri" w:hAnsi="Calibri"/>
                <w:sz w:val="24"/>
                <w:szCs w:val="24"/>
                <w:rtl w:val="0"/>
              </w:rPr>
              <w:t xml:space="preserve"> ¿Puedo establecer con claridad, los actos y actuaciones administrativas de las entidades públicas, así como los medios para impugnarlos en sede administrativa?</w:t>
            </w:r>
          </w:p>
        </w:tc>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Pregunta reflexiva:</w:t>
            </w:r>
            <w:r w:rsidDel="00000000" w:rsidR="00000000" w:rsidRPr="00000000">
              <w:rPr>
                <w:rFonts w:ascii="Calibri" w:cs="Calibri" w:eastAsia="Calibri" w:hAnsi="Calibri"/>
                <w:sz w:val="24"/>
                <w:szCs w:val="24"/>
                <w:rtl w:val="0"/>
              </w:rPr>
              <w:t xml:space="preserve"> ¿Puedo emitir opinión jurídica, respecto a sumarios administrativos, demandas contenciosas, contenciosas administrativas, procesos penales y coactivos fiscales?</w:t>
            </w:r>
          </w:p>
        </w:tc>
      </w:tr>
      <w:tr>
        <w:trPr>
          <w:cantSplit w:val="0"/>
          <w:trHeight w:val="272.373046875" w:hRule="atLeast"/>
          <w:tblHeader w:val="0"/>
        </w:trPr>
        <w:tc>
          <w:tcPr>
            <w:gridSpan w:val="2"/>
            <w:tcBorders>
              <w:top w:color="000000" w:space="0" w:sz="7" w:val="single"/>
              <w:left w:color="000000" w:space="0" w:sz="7" w:val="single"/>
              <w:bottom w:color="000000" w:space="0" w:sz="7" w:val="single"/>
              <w:right w:color="000000" w:space="0" w:sz="7" w:val="single"/>
            </w:tcBorders>
            <w:shd w:fill="cccccc" w:val="clear"/>
            <w:tcMar>
              <w:top w:w="60.0" w:type="dxa"/>
              <w:left w:w="60.0" w:type="dxa"/>
              <w:bottom w:w="60.0" w:type="dxa"/>
              <w:right w:w="60.0" w:type="dxa"/>
            </w:tcMar>
            <w:vAlign w:val="top"/>
          </w:tcPr>
          <w:p w:rsidR="00000000" w:rsidDel="00000000" w:rsidP="00000000" w:rsidRDefault="00000000" w:rsidRPr="00000000" w14:paraId="0000004C">
            <w:pPr>
              <w:rPr>
                <w:rFonts w:ascii="Calibri" w:cs="Calibri" w:eastAsia="Calibri" w:hAnsi="Calibri"/>
                <w:sz w:val="24"/>
                <w:szCs w:val="24"/>
              </w:rPr>
            </w:pPr>
            <w:r w:rsidDel="00000000" w:rsidR="00000000" w:rsidRPr="00000000">
              <w:rPr>
                <w:rtl w:val="0"/>
              </w:rPr>
            </w:r>
          </w:p>
        </w:tc>
      </w:tr>
      <w:tr>
        <w:trPr>
          <w:cantSplit w:val="0"/>
          <w:trHeight w:val="73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4E">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HITO 05</w:t>
            </w:r>
          </w:p>
        </w:tc>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rFonts w:ascii="Calibri" w:cs="Calibri" w:eastAsia="Calibri" w:hAnsi="Calibri"/>
              </w:rPr>
            </w:pPr>
            <w:r w:rsidDel="00000000" w:rsidR="00000000" w:rsidRPr="00000000">
              <w:rPr>
                <w:rtl w:val="0"/>
              </w:rPr>
            </w:r>
          </w:p>
        </w:tc>
      </w:tr>
      <w:tr>
        <w:trPr>
          <w:cantSplit w:val="0"/>
          <w:trHeight w:val="73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50">
            <w:pPr>
              <w:rPr>
                <w:sz w:val="24"/>
                <w:szCs w:val="24"/>
              </w:rPr>
            </w:pPr>
            <w:r w:rsidDel="00000000" w:rsidR="00000000" w:rsidRPr="00000000">
              <w:rPr>
                <w:i w:val="1"/>
                <w:iCs w:val="1"/>
                <w:sz w:val="24"/>
                <w:szCs w:val="24"/>
                <w:rtl w:val="0"/>
              </w:rPr>
              <w:t xml:space="preserve">Analiza las clases, derechos, obligaciones y prohibiciones de los servidores públicos promoviendo la ética y la transparencia; evalúa la responsabilidad por la función pública asumiendo criterios de legalidad y rendición de cuentas; identifica los delitos vinculados a la función pública previniendo conductas corruptas; y aplica los procesos administrativos, coactivos, contenciosos y de expropiación conforme a la normativa vigente y con responsabilidad institucional.</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rFonts w:ascii="Calibri" w:cs="Calibri" w:eastAsia="Calibri" w:hAnsi="Calibri"/>
              </w:rPr>
            </w:pPr>
            <w:r w:rsidDel="00000000" w:rsidR="00000000" w:rsidRPr="00000000">
              <w:rPr>
                <w:rtl w:val="0"/>
              </w:rPr>
            </w:r>
          </w:p>
        </w:tc>
      </w:tr>
      <w:tr>
        <w:trPr>
          <w:cantSplit w:val="0"/>
          <w:trHeight w:val="73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5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Pregunta reflexiva:</w:t>
            </w:r>
            <w:r w:rsidDel="00000000" w:rsidR="00000000" w:rsidRPr="00000000">
              <w:rPr>
                <w:rFonts w:ascii="Calibri" w:cs="Calibri" w:eastAsia="Calibri" w:hAnsi="Calibri"/>
                <w:sz w:val="24"/>
                <w:szCs w:val="24"/>
                <w:rtl w:val="0"/>
              </w:rPr>
              <w:t xml:space="preserve"> ¿Estoy preparado para asesorar y patrocinar procesos internos (sumarios) y procesos judiciales relacionados con la Administración Pública?</w:t>
            </w:r>
          </w:p>
        </w:tc>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rFonts w:ascii="Calibri" w:cs="Calibri" w:eastAsia="Calibri" w:hAnsi="Calibri"/>
              </w:rPr>
            </w:pPr>
            <w:r w:rsidDel="00000000" w:rsidR="00000000" w:rsidRPr="00000000">
              <w:rPr>
                <w:rtl w:val="0"/>
              </w:rPr>
            </w:r>
          </w:p>
        </w:tc>
      </w:tr>
      <w:tr>
        <w:trPr>
          <w:cantSplit w:val="0"/>
          <w:trHeight w:val="270" w:hRule="atLeast"/>
          <w:tblHeader w:val="0"/>
        </w:trPr>
        <w:tc>
          <w:tcPr>
            <w:gridSpan w:val="2"/>
            <w:tcBorders>
              <w:top w:color="000000" w:space="0" w:sz="7" w:val="single"/>
              <w:left w:color="000000" w:space="0" w:sz="7" w:val="single"/>
              <w:bottom w:color="000000" w:space="0" w:sz="7" w:val="single"/>
              <w:right w:color="000000" w:space="0" w:sz="7" w:val="single"/>
            </w:tcBorders>
            <w:shd w:fill="cc99ff" w:val="clear"/>
            <w:tcMar>
              <w:top w:w="60.0" w:type="dxa"/>
              <w:left w:w="60.0" w:type="dxa"/>
              <w:bottom w:w="60.0" w:type="dxa"/>
              <w:right w:w="60.0" w:type="dxa"/>
            </w:tcMar>
            <w:vAlign w:val="top"/>
          </w:tcPr>
          <w:p w:rsidR="00000000" w:rsidDel="00000000" w:rsidP="00000000" w:rsidRDefault="00000000" w:rsidRPr="00000000" w14:paraId="00000054">
            <w:pPr>
              <w:rPr>
                <w:rFonts w:ascii="Calibri" w:cs="Calibri" w:eastAsia="Calibri" w:hAnsi="Calibri"/>
                <w:b w:val="1"/>
                <w:bCs w:val="1"/>
                <w:sz w:val="28"/>
                <w:szCs w:val="28"/>
              </w:rPr>
            </w:pPr>
            <w:r w:rsidDel="00000000" w:rsidR="00000000" w:rsidRPr="00000000">
              <w:rPr>
                <w:rFonts w:ascii="Calibri" w:cs="Calibri" w:eastAsia="Calibri" w:hAnsi="Calibri"/>
                <w:b w:val="1"/>
                <w:bCs w:val="1"/>
                <w:sz w:val="30"/>
                <w:szCs w:val="30"/>
                <w:rtl w:val="0"/>
              </w:rPr>
              <w:t xml:space="preserve">Ruta de aprendizaje asignatura </w:t>
            </w:r>
            <w:r w:rsidDel="00000000" w:rsidR="00000000" w:rsidRPr="00000000">
              <w:rPr>
                <w:rtl w:val="0"/>
              </w:rPr>
            </w:r>
          </w:p>
        </w:tc>
      </w:tr>
      <w:tr>
        <w:trPr>
          <w:cantSplit w:val="0"/>
          <w:trHeight w:val="735" w:hRule="atLeast"/>
          <w:tblHeader w:val="0"/>
        </w:trPr>
        <w:tc>
          <w:tcPr>
            <w:gridSpan w:val="2"/>
            <w:tcBorders>
              <w:top w:color="000000" w:space="0" w:sz="7" w:val="single"/>
              <w:left w:color="000000" w:space="0" w:sz="7" w:val="single"/>
              <w:bottom w:color="000000" w:space="0" w:sz="7" w:val="single"/>
              <w:right w:color="000000" w:space="0" w:sz="7" w:val="single"/>
            </w:tcBorders>
            <w:shd w:fill="cccccc" w:val="clear"/>
            <w:tcMar>
              <w:top w:w="60.0" w:type="dxa"/>
              <w:left w:w="60.0" w:type="dxa"/>
              <w:bottom w:w="60.0" w:type="dxa"/>
              <w:right w:w="60.0" w:type="dxa"/>
            </w:tcMar>
            <w:vAlign w:val="top"/>
          </w:tcPr>
          <w:p w:rsidR="00000000" w:rsidDel="00000000" w:rsidP="00000000" w:rsidRDefault="00000000" w:rsidRPr="00000000" w14:paraId="0000005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Coloca un título de contenido general a cada Hito. Este título refleja el contenido dominante que se abordará en los Hitos 01, 02, 03, 04 y 05. El título debe ser corto, atractivo y representativo al contenido del Hito.</w:t>
            </w:r>
          </w:p>
        </w:tc>
      </w:tr>
      <w:tr>
        <w:trPr>
          <w:cantSplit w:val="0"/>
          <w:trHeight w:val="735" w:hRule="atLeast"/>
          <w:tblHeader w:val="0"/>
        </w:trPr>
        <w:tc>
          <w:tcPr>
            <w:gridSpan w:val="2"/>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5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 la asignatura: </w:t>
            </w:r>
            <w:r w:rsidDel="00000000" w:rsidR="00000000" w:rsidRPr="00000000">
              <w:rPr>
                <w:rtl w:val="0"/>
              </w:rPr>
            </w:r>
          </w:p>
        </w:tc>
      </w:tr>
      <w:tr>
        <w:trPr>
          <w:cantSplit w:val="0"/>
          <w:trHeight w:val="73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5A">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Hito 01: Diagnóstico</w:t>
            </w:r>
          </w:p>
          <w:p w:rsidR="00000000" w:rsidDel="00000000" w:rsidP="00000000" w:rsidRDefault="00000000" w:rsidRPr="00000000" w14:paraId="0000005C">
            <w:pPr>
              <w:rPr>
                <w:rFonts w:ascii="Calibri" w:cs="Calibri" w:eastAsia="Calibri" w:hAnsi="Calibri"/>
                <w:b w:val="1"/>
                <w:bCs w:val="1"/>
                <w:sz w:val="24"/>
                <w:szCs w:val="2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jc w:val="both"/>
              <w:rPr>
                <w:sz w:val="24"/>
                <w:szCs w:val="24"/>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sz w:val="24"/>
                <w:szCs w:val="24"/>
              </w:rPr>
            </w:pPr>
            <w:r w:rsidDel="00000000" w:rsidR="00000000" w:rsidRPr="00000000">
              <w:rPr>
                <w:sz w:val="24"/>
                <w:szCs w:val="24"/>
                <w:rtl w:val="0"/>
              </w:rPr>
              <w:t xml:space="preserve">Recordando la Teoría General del Estado y el Derecho Constitucional Boliviano</w:t>
            </w:r>
            <w:r w:rsidDel="00000000" w:rsidR="00000000" w:rsidRPr="00000000">
              <w:rPr>
                <w:rtl w:val="0"/>
              </w:rPr>
            </w:r>
          </w:p>
        </w:tc>
      </w:tr>
      <w:tr>
        <w:trPr>
          <w:cantSplit w:val="0"/>
          <w:trHeight w:val="73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5F">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Hito 02: Avance</w:t>
            </w:r>
          </w:p>
        </w:tc>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jc w:val="both"/>
              <w:rPr>
                <w:rFonts w:ascii="Calibri" w:cs="Calibri" w:eastAsia="Calibri" w:hAnsi="Calibri"/>
                <w:sz w:val="24"/>
                <w:szCs w:val="24"/>
              </w:rPr>
            </w:pPr>
            <w:r w:rsidDel="00000000" w:rsidR="00000000" w:rsidRPr="00000000">
              <w:rPr>
                <w:sz w:val="24"/>
                <w:szCs w:val="24"/>
                <w:rtl w:val="0"/>
              </w:rPr>
              <w:t xml:space="preserve">Arquitectura jurídica del Estado y la Administración Pública</w:t>
            </w:r>
            <w:r w:rsidDel="00000000" w:rsidR="00000000" w:rsidRPr="00000000">
              <w:rPr>
                <w:rtl w:val="0"/>
              </w:rPr>
            </w:r>
          </w:p>
        </w:tc>
      </w:tr>
      <w:tr>
        <w:trPr>
          <w:cantSplit w:val="0"/>
          <w:trHeight w:val="73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62">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Hito 03: Investigación</w:t>
            </w:r>
          </w:p>
        </w:tc>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jc w:val="both"/>
              <w:rPr>
                <w:sz w:val="24"/>
                <w:szCs w:val="24"/>
              </w:rPr>
            </w:pPr>
            <w:r w:rsidDel="00000000" w:rsidR="00000000" w:rsidRPr="00000000">
              <w:rPr>
                <w:sz w:val="24"/>
                <w:szCs w:val="24"/>
                <w:rtl w:val="0"/>
              </w:rPr>
              <w:t xml:space="preserve">Actos de la Administración Pública y Control Gubernamental</w:t>
            </w:r>
          </w:p>
        </w:tc>
      </w:tr>
      <w:tr>
        <w:trPr>
          <w:cantSplit w:val="0"/>
          <w:trHeight w:val="73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65">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Hito 04: Innovación</w:t>
            </w:r>
          </w:p>
        </w:tc>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jc w:val="both"/>
              <w:rPr>
                <w:rFonts w:ascii="Calibri" w:cs="Calibri" w:eastAsia="Calibri" w:hAnsi="Calibri"/>
                <w:sz w:val="24"/>
                <w:szCs w:val="24"/>
              </w:rPr>
            </w:pPr>
            <w:r w:rsidDel="00000000" w:rsidR="00000000" w:rsidRPr="00000000">
              <w:rPr>
                <w:sz w:val="24"/>
                <w:szCs w:val="24"/>
                <w:rtl w:val="0"/>
              </w:rPr>
              <w:t xml:space="preserve">Actos de la Administración Pública y Control Gubernamental</w:t>
            </w:r>
            <w:r w:rsidDel="00000000" w:rsidR="00000000" w:rsidRPr="00000000">
              <w:rPr>
                <w:rtl w:val="0"/>
              </w:rPr>
            </w:r>
          </w:p>
        </w:tc>
      </w:tr>
      <w:tr>
        <w:trPr>
          <w:cantSplit w:val="0"/>
          <w:trHeight w:val="73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68">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Hito 05: Integración</w:t>
            </w:r>
          </w:p>
        </w:tc>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jc w:val="both"/>
              <w:rPr>
                <w:sz w:val="24"/>
                <w:szCs w:val="24"/>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sz w:val="24"/>
                <w:szCs w:val="24"/>
              </w:rPr>
            </w:pPr>
            <w:r w:rsidDel="00000000" w:rsidR="00000000" w:rsidRPr="00000000">
              <w:rPr>
                <w:sz w:val="24"/>
                <w:szCs w:val="24"/>
                <w:rtl w:val="0"/>
              </w:rPr>
              <w:t xml:space="preserve">Análisis de los Exploradores de Cavernas</w:t>
            </w:r>
            <w:r w:rsidDel="00000000" w:rsidR="00000000" w:rsidRPr="00000000">
              <w:rPr>
                <w:rtl w:val="0"/>
              </w:rPr>
            </w:r>
          </w:p>
        </w:tc>
      </w:tr>
    </w:tbl>
    <w:p w:rsidR="00000000" w:rsidDel="00000000" w:rsidP="00000000" w:rsidRDefault="00000000" w:rsidRPr="00000000" w14:paraId="0000006C">
      <w:pPr>
        <w:rPr>
          <w:rFonts w:ascii="Calibri" w:cs="Calibri" w:eastAsia="Calibri" w:hAnsi="Calibri"/>
        </w:rPr>
      </w:pPr>
      <w:r w:rsidDel="00000000" w:rsidR="00000000" w:rsidRPr="00000000">
        <w:rPr>
          <w:rtl w:val="0"/>
        </w:rPr>
      </w:r>
    </w:p>
    <w:p w:rsidR="00000000" w:rsidDel="00000000" w:rsidP="00000000" w:rsidRDefault="00000000" w:rsidRPr="00000000" w14:paraId="0000006D">
      <w:pPr>
        <w:rPr>
          <w:rFonts w:ascii="Calibri" w:cs="Calibri" w:eastAsia="Calibri" w:hAnsi="Calibri"/>
        </w:rPr>
      </w:pP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b w:val="1"/>
          <w:bCs w:val="1"/>
          <w:sz w:val="30"/>
          <w:szCs w:val="30"/>
        </w:rPr>
      </w:pPr>
      <w:r w:rsidDel="00000000" w:rsidR="00000000" w:rsidRPr="00000000">
        <w:rPr>
          <w:rtl w:val="0"/>
        </w:rPr>
      </w:r>
    </w:p>
    <w:sectPr>
      <w:headerReference r:id="rId8" w:type="default"/>
      <w:headerReference r:id="rId9" w:type="first"/>
      <w:footerReference r:id="rId10" w:type="first"/>
      <w:pgSz w:h="16834" w:w="11909" w:orient="portrait"/>
      <w:pgMar w:bottom="1440" w:top="1440" w:left="1440" w:right="1440" w:header="720.0000000000001" w:footer="720.000000000000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4371975</wp:posOffset>
          </wp:positionH>
          <wp:positionV relativeFrom="paragraph">
            <wp:posOffset>-409571</wp:posOffset>
          </wp:positionV>
          <wp:extent cx="2156573" cy="595222"/>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156573" cy="595222"/>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4333875</wp:posOffset>
          </wp:positionH>
          <wp:positionV relativeFrom="paragraph">
            <wp:posOffset>-419096</wp:posOffset>
          </wp:positionV>
          <wp:extent cx="2156573" cy="595222"/>
          <wp:effectExtent b="0" l="0" r="0" t="0"/>
          <wp:wrapNone/>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156573" cy="59522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FKxm9-NiIKNyD-_MuUPDaoLskey52Qio/edit?usp=drive_link&amp;ouid=104554428077049194322&amp;rtpof=true&amp;sd=true"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h5HggphegSiu8VIUFRhQkhIphw==">CgMxLjA4AHIhMVFPVjQ1bGMyM1Jnb083MXRGSkJmZk9tWTBrVGhvd29o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