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007A"/>
          <w:sz w:val="28"/>
        </w:rPr>
        <w:t>BANCO GUAYAQUIL</w:t>
      </w:r>
    </w:p>
    <w:p>
      <w:pPr>
        <w:jc w:val="center"/>
      </w:pPr>
      <w:r>
        <w:rPr>
          <w:b/>
        </w:rPr>
        <w:t>Reporte consolidado de portafolio verde — Crédito Terra</w:t>
      </w:r>
    </w:p>
    <w:p>
      <w:pPr>
        <w:jc w:val="center"/>
      </w:pPr>
      <w:r>
        <w:t>Generado: 01/06/2026 21:27</w:t>
      </w:r>
    </w:p>
    <w:p/>
    <w:p>
      <w:pPr>
        <w:pStyle w:val="Heading2"/>
      </w:pPr>
      <w:r>
        <w:rPr>
          <w:color w:val="D4007A"/>
        </w:rPr>
        <w:t>1. Resumen Ejecutivo</w:t>
      </w:r>
    </w:p>
    <w:p>
      <w:r>
        <w:rPr>
          <w:b/>
        </w:rPr>
        <w:br/>
        <w:t xml:space="preserve">Total de casos evaluados: </w:t>
      </w:r>
      <w:r>
        <w:t>203</w:t>
      </w:r>
    </w:p>
    <w:p>
      <w:r>
        <w:rPr>
          <w:b/>
        </w:rPr>
        <w:t xml:space="preserve">Casos que CUMPLEN elegibilidad: </w:t>
      </w:r>
      <w:r>
        <w:t>65 (32.0%)</w:t>
      </w:r>
    </w:p>
    <w:p>
      <w:r>
        <w:rPr>
          <w:b/>
        </w:rPr>
        <w:t xml:space="preserve">Monto total evaluado: </w:t>
      </w:r>
      <w:r>
        <w:t>$193,726,168.80</w:t>
      </w:r>
    </w:p>
    <w:p>
      <w:r>
        <w:rPr>
          <w:b/>
        </w:rPr>
        <w:t xml:space="preserve">GEI evitadas anuales: </w:t>
      </w:r>
      <w:r>
        <w:t>199,691.50 tCO2/año</w:t>
      </w:r>
    </w:p>
    <w:p>
      <w:r>
        <w:rPr>
          <w:b/>
        </w:rPr>
        <w:t xml:space="preserve">GEI evitadas totales vida útil: </w:t>
      </w:r>
      <w:r>
        <w:t>4,865,879.39 tCO2</w:t>
      </w:r>
    </w:p>
    <w:p>
      <w:r>
        <w:rPr>
          <w:b/>
        </w:rPr>
        <w:t xml:space="preserve">Capacidad instalada total: </w:t>
      </w:r>
      <w:r>
        <w:t>285.686 MWp</w:t>
      </w:r>
    </w:p>
    <w:p/>
    <w:p>
      <w:pPr>
        <w:pStyle w:val="Heading2"/>
      </w:pPr>
      <w:r>
        <w:rPr>
          <w:color w:val="D4007A"/>
        </w:rPr>
        <w:t>2. Alineacion con ODS</w:t>
      </w:r>
    </w:p>
    <w:p>
      <w:r>
        <w:br/>
        <w:t>El portafolio de Crédito Terra correspondiente a proyectos de energía fotovoltaica contribuye a los siguientes ODS: ODS 7 (Energía asequible y no contaminante), ODS 9 (Industria, innovación e infraestructura), ODS 12 (Producción y consumo responsables) y ODS 13 (Acción por el clima)</w:t>
      </w:r>
    </w:p>
    <w:p/>
    <w:p>
      <w:pPr>
        <w:pStyle w:val="Heading2"/>
      </w:pPr>
      <w:r>
        <w:rPr>
          <w:color w:val="D4007A"/>
        </w:rPr>
        <w:t>3. Distribución del portafolio por sector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Casos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Tasa de aprobación</w:t>
            </w:r>
          </w:p>
        </w:tc>
      </w:tr>
      <w:tr>
        <w:tc>
          <w:tcPr>
            <w:tcW w:type="dxa" w:w="3135"/>
          </w:tcPr>
          <w:p>
            <w:r>
              <w:t>TELECOMUNICACIONES</w:t>
            </w:r>
          </w:p>
        </w:tc>
        <w:tc>
          <w:tcPr>
            <w:tcW w:type="dxa" w:w="3135"/>
          </w:tcPr>
          <w:p>
            <w:r>
              <w:t>21</w:t>
            </w:r>
          </w:p>
        </w:tc>
        <w:tc>
          <w:tcPr>
            <w:tcW w:type="dxa" w:w="3135"/>
          </w:tcPr>
          <w:p>
            <w:r>
              <w:t>0.0%</w:t>
            </w:r>
          </w:p>
        </w:tc>
      </w:tr>
      <w:tr>
        <w:tc>
          <w:tcPr>
            <w:tcW w:type="dxa" w:w="3135"/>
          </w:tcPr>
          <w:p>
            <w:r>
              <w:t>CONSTRUCCIÓN</w:t>
            </w:r>
          </w:p>
        </w:tc>
        <w:tc>
          <w:tcPr>
            <w:tcW w:type="dxa" w:w="3135"/>
          </w:tcPr>
          <w:p>
            <w:r>
              <w:t>18</w:t>
            </w:r>
          </w:p>
        </w:tc>
        <w:tc>
          <w:tcPr>
            <w:tcW w:type="dxa" w:w="3135"/>
          </w:tcPr>
          <w:p>
            <w:r>
              <w:t>22.2%</w:t>
            </w:r>
          </w:p>
        </w:tc>
      </w:tr>
      <w:tr>
        <w:tc>
          <w:tcPr>
            <w:tcW w:type="dxa" w:w="3135"/>
          </w:tcPr>
          <w:p>
            <w:r>
              <w:t>SERVICIOS FINANCIEROS</w:t>
            </w:r>
          </w:p>
        </w:tc>
        <w:tc>
          <w:tcPr>
            <w:tcW w:type="dxa" w:w="3135"/>
          </w:tcPr>
          <w:p>
            <w:r>
              <w:t>18</w:t>
            </w:r>
          </w:p>
        </w:tc>
        <w:tc>
          <w:tcPr>
            <w:tcW w:type="dxa" w:w="3135"/>
          </w:tcPr>
          <w:p>
            <w:r>
              <w:t>5.6%</w:t>
            </w:r>
          </w:p>
        </w:tc>
      </w:tr>
      <w:tr>
        <w:tc>
          <w:tcPr>
            <w:tcW w:type="dxa" w:w="3135"/>
          </w:tcPr>
          <w:p>
            <w:r>
              <w:t>INDUSTRIA FLORÍCOLA</w:t>
            </w:r>
          </w:p>
        </w:tc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41.2%</w:t>
            </w:r>
          </w:p>
        </w:tc>
      </w:tr>
      <w:tr>
        <w:tc>
          <w:tcPr>
            <w:tcW w:type="dxa" w:w="3135"/>
          </w:tcPr>
          <w:p>
            <w:r>
              <w:t>INDUSTRIA ALIMENTICIA</w:t>
            </w:r>
          </w:p>
        </w:tc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53.8%</w:t>
            </w:r>
          </w:p>
        </w:tc>
      </w:tr>
      <w:tr>
        <w:tc>
          <w:tcPr>
            <w:tcW w:type="dxa" w:w="3135"/>
          </w:tcPr>
          <w:p>
            <w:r>
              <w:t>INDUSTRIA FARMACÉUTICA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26.7%</w:t>
            </w:r>
          </w:p>
        </w:tc>
      </w:tr>
      <w:tr>
        <w:tc>
          <w:tcPr>
            <w:tcW w:type="dxa" w:w="3135"/>
          </w:tcPr>
          <w:p>
            <w:r>
              <w:t>SERVICIOS ESENCIALES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53.3%</w:t>
            </w:r>
          </w:p>
        </w:tc>
      </w:tr>
      <w:tr>
        <w:tc>
          <w:tcPr>
            <w:tcW w:type="dxa" w:w="3135"/>
          </w:tcPr>
          <w:p>
            <w:r>
              <w:t>AGROPECUARIO</w:t>
            </w:r>
          </w:p>
        </w:tc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50.0%</w:t>
            </w:r>
          </w:p>
        </w:tc>
      </w:tr>
      <w:tr>
        <w:tc>
          <w:tcPr>
            <w:tcW w:type="dxa" w:w="3135"/>
          </w:tcPr>
          <w:p>
            <w:r>
              <w:t>BANANO</w:t>
            </w:r>
          </w:p>
        </w:tc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41.7%</w:t>
            </w:r>
          </w:p>
        </w:tc>
      </w:tr>
      <w:tr>
        <w:tc>
          <w:tcPr>
            <w:tcW w:type="dxa" w:w="3135"/>
          </w:tcPr>
          <w:p>
            <w:r>
              <w:t>CAMARÓN</w:t>
            </w:r>
          </w:p>
        </w:tc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58.3%</w:t>
            </w:r>
          </w:p>
        </w:tc>
      </w:tr>
      <w:tr>
        <w:tc>
          <w:tcPr>
            <w:tcW w:type="dxa" w:w="3135"/>
          </w:tcPr>
          <w:p>
            <w:r>
              <w:t>LOGÍSTICA Y TRANSPORTE</w:t>
            </w:r>
          </w:p>
        </w:tc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41.7%</w:t>
            </w:r>
          </w:p>
        </w:tc>
      </w:tr>
      <w:tr>
        <w:tc>
          <w:tcPr>
            <w:tcW w:type="dxa" w:w="3135"/>
          </w:tcPr>
          <w:p>
            <w:r>
              <w:t>CACAO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11.1%</w:t>
            </w:r>
          </w:p>
        </w:tc>
      </w:tr>
      <w:tr>
        <w:tc>
          <w:tcPr>
            <w:tcW w:type="dxa" w:w="3135"/>
          </w:tcPr>
          <w:p>
            <w:r>
              <w:t>INDUSTRIA DE LA PESCA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22.2%</w:t>
            </w:r>
          </w:p>
        </w:tc>
      </w:tr>
      <w:tr>
        <w:tc>
          <w:tcPr>
            <w:tcW w:type="dxa" w:w="3135"/>
          </w:tcPr>
          <w:p>
            <w:r>
              <w:t>COMERCIO EN GENERAL</w:t>
            </w:r>
          </w:p>
        </w:tc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37.5%</w:t>
            </w:r>
          </w:p>
        </w:tc>
      </w:tr>
      <w:tr>
        <w:tc>
          <w:tcPr>
            <w:tcW w:type="dxa" w:w="3135"/>
          </w:tcPr>
          <w:p>
            <w:r>
              <w:t>INDUSTRIAS MANUFACTURERAS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14.3%</w:t>
            </w:r>
          </w:p>
        </w:tc>
      </w:tr>
    </w:tbl>
    <w:p/>
    <w:p>
      <w:pPr>
        <w:pStyle w:val="Heading2"/>
      </w:pPr>
      <w:r>
        <w:rPr>
          <w:color w:val="D4007A"/>
        </w:rPr>
        <w:t>4. Modelo Predictivo — Nota metodológica</w:t>
      </w:r>
    </w:p>
    <w:p>
      <w:r>
        <w:br/>
        <w:t>El sistema incluye un modelo Random Forest para estimación preliminar de elegibilidad. Conforme a Riley et al. (2019), el primer entrenamiento con datos reales requiere mínimo 200 casos evaluados. Re-entrenamiento cada 150 casos nuevos o precisión &lt; 80%, con validación del area de sostenibilidad. Precision actual (datos simulados): N/D% | AUC-ROC: N/D.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