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FF0E913">
      <w:pPr>
        <w:pStyle w:val="style0"/>
        <w:adjustRightInd w:val="false"/>
        <w:spacing w:before="100" w:after="100" w:lineRule="auto" w:line="240"/>
        <w:jc w:val="center"/>
        <w:outlineLvl w:val="9"/>
        <w:rPr/>
      </w:pPr>
      <w:bookmarkStart w:id="0" w:name="_GoBack"/>
      <w:bookmarkEnd w:id="0"/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📚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文献阅读笔记</w:t>
      </w:r>
    </w:p>
    <w:p w14:paraId="B169D79F">
      <w:pPr>
        <w:pStyle w:val="style0"/>
        <w:adjustRightInd w:val="false"/>
        <w:spacing w:before="320" w:lineRule="auto" w:line="30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一、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 xml:space="preserve"> </w:t>
      </w: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基本信息</w:t>
      </w:r>
    </w:p>
    <w:p w14:paraId="2A474BF8">
      <w:pPr>
        <w:pStyle w:val="style0"/>
        <w:adjustRightInd w:val="false"/>
        <w:spacing w:before="100" w:after="100" w:lineRule="auto" w:line="240"/>
        <w:jc w:val="center"/>
        <w:outlineLvl w:val="9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6"/>
          <w:szCs w:val="24"/>
          <w:highlight w:val="none"/>
          <w:vertAlign w:val="baseline"/>
          <w:em w:val="none"/>
          <w:lang w:bidi="ar-SA"/>
        </w:rPr>
        <w:t>标题：数字创新背景下开源贡献对经济增长影响的实证研究——基于36个国家面板数据</w:t>
      </w:r>
    </w:p>
    <w:p w14:paraId="5AC5ED6D">
      <w:pPr>
        <w:pStyle w:val="style0"/>
        <w:spacing w:lineRule="auto" w:line="240"/>
        <w:jc w:val="left"/>
        <w:rPr/>
      </w:pPr>
    </w:p>
    <w:p w14:paraId="CC73C95A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作者：王心鑫、戚湧（南京理工大学）</w:t>
      </w:r>
    </w:p>
    <w:p w14:paraId="188D07D1">
      <w:pPr>
        <w:pStyle w:val="style0"/>
        <w:spacing w:lineRule="auto" w:line="240"/>
        <w:jc w:val="left"/>
        <w:rPr/>
      </w:pPr>
    </w:p>
    <w:p w14:paraId="BCD25D0B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发表刊物：中国商论（2025年）</w:t>
      </w:r>
    </w:p>
    <w:p w14:paraId="E9D3FC82">
      <w:pPr>
        <w:pStyle w:val="style0"/>
        <w:adjustRightInd w:val="false"/>
        <w:spacing w:before="100" w:after="100" w:lineRule="auto" w:line="300"/>
        <w:ind w:left="0" w:leftChars="0" w:firstLine="0" w:firstLineChars="0"/>
        <w:jc w:val="both"/>
        <w:rPr/>
      </w:pPr>
    </w:p>
    <w:p w14:paraId="AE627DB0">
      <w:pPr>
        <w:pStyle w:val="style0"/>
        <w:adjustRightInd w:val="false"/>
        <w:spacing w:before="100" w:after="100" w:lineRule="auto" w:line="300"/>
        <w:ind w:left="0" w:leftChars="0" w:firstLine="0" w:firstLineChars="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核心关键词：数字创新、开源软件、开源贡献、经济增长、数字经济</w:t>
      </w:r>
    </w:p>
    <w:p w14:paraId="D890F883">
      <w:pPr>
        <w:pStyle w:val="style0"/>
        <w:spacing w:lineRule="auto" w:line="240"/>
        <w:jc w:val="left"/>
        <w:rPr/>
      </w:pPr>
    </w:p>
    <w:p w14:paraId="D1FF8A28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研究背景与问题</w:t>
      </w:r>
    </w:p>
    <w:p w14:paraId="0C7A3F60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在数字经济时代，开源作为一种新型生产模式，正深刻影响经济增长。然而，关于开源对宏观经济的具体影响，尤其是“知识外溢”与“吸收能力”之间的复杂关系，仍缺乏系统的定量研究。本文旨在探讨：开源贡献是否以及如何推动国家经济增长？</w:t>
      </w:r>
    </w:p>
    <w:p w14:paraId="8D7F00E5">
      <w:pPr>
        <w:pStyle w:val="style0"/>
        <w:spacing w:lineRule="auto" w:line="240"/>
        <w:jc w:val="left"/>
        <w:rPr/>
      </w:pPr>
    </w:p>
    <w:p w14:paraId="62C7B631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核心观点与发现</w:t>
      </w:r>
    </w:p>
    <w:p w14:paraId="B5206B9C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开源贡献的双刃剑效应</w:t>
      </w:r>
    </w:p>
    <w:p w14:paraId="698A8CCE">
      <w:pPr>
        <w:pStyle w:val="style0"/>
        <w:spacing w:lineRule="auto" w:line="240"/>
        <w:jc w:val="left"/>
        <w:rPr/>
      </w:pPr>
    </w:p>
    <w:p w14:paraId="9127A033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正向影响：开源贡献通过知识共享和协同创新，为全球数字转型提供动力，是新经济增长模型的重要组成部分。</w:t>
      </w:r>
    </w:p>
    <w:p w14:paraId="C95E950B">
      <w:pPr>
        <w:pStyle w:val="style0"/>
        <w:spacing w:lineRule="auto" w:line="240"/>
        <w:jc w:val="left"/>
        <w:rPr/>
      </w:pPr>
    </w:p>
    <w:p w14:paraId="EB182372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知识外溢的负面效应：研究发现，单个国家或经济体在贡献开源内容时，由于知识具有非排他性，其创新成果容易外溢给全球其他地区。如果本国未能有效“内化”这些外溢知识，反而可能对本国短期经济增长产生负面效应（即所谓的“为他人做嫁衣”）。</w:t>
      </w:r>
    </w:p>
    <w:p w14:paraId="3C12A9C2">
      <w:pPr>
        <w:pStyle w:val="style0"/>
        <w:spacing w:lineRule="auto" w:line="240"/>
        <w:jc w:val="left"/>
        <w:rPr/>
      </w:pPr>
    </w:p>
    <w:p w14:paraId="B01BD783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知识领域差异性</w:t>
      </w:r>
    </w:p>
    <w:p w14:paraId="D3219C66">
      <w:pPr>
        <w:pStyle w:val="style0"/>
        <w:spacing w:lineRule="auto" w:line="240"/>
        <w:jc w:val="left"/>
        <w:rPr/>
      </w:pPr>
    </w:p>
    <w:p w14:paraId="ABCDF80E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不同领域的开源贡献（如基础架构类与应用类）对经济的影响不同。</w:t>
      </w:r>
    </w:p>
    <w:p w14:paraId="2E928467">
      <w:pPr>
        <w:pStyle w:val="style0"/>
        <w:spacing w:lineRule="auto" w:line="240"/>
        <w:jc w:val="left"/>
        <w:rPr/>
      </w:pPr>
    </w:p>
    <w:p w14:paraId="8DEFCF73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基础技术的开源贡献具有更强的长远带动作用，但也伴随更高的外溢风险。</w:t>
      </w:r>
    </w:p>
    <w:p w14:paraId="6D14C60D">
      <w:pPr>
        <w:pStyle w:val="style0"/>
        <w:spacing w:lineRule="auto" w:line="240"/>
        <w:jc w:val="left"/>
        <w:rPr/>
      </w:pPr>
    </w:p>
    <w:p w14:paraId="CB52C6E1">
      <w:pPr>
        <w:pStyle w:val="style0"/>
        <w:adjustRightInd w:val="false"/>
        <w:spacing w:before="280" w:lineRule="auto" w:line="300"/>
        <w:ind w:left="0" w:leftChars="0" w:firstLine="0" w:firstLineChars="0"/>
        <w:jc w:val="both"/>
        <w:outlineLvl w:val="1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auto"/>
          <w:kern w:val="2"/>
          <w:sz w:val="30"/>
          <w:szCs w:val="32"/>
          <w:highlight w:val="none"/>
          <w:vertAlign w:val="baseline"/>
          <w:em w:val="none"/>
          <w:lang w:bidi="ar-SA"/>
        </w:rPr>
        <w:t>外部吸收能力的重要性</w:t>
      </w:r>
    </w:p>
    <w:p w14:paraId="3B2896A5">
      <w:pPr>
        <w:pStyle w:val="style0"/>
        <w:spacing w:lineRule="auto" w:line="240"/>
        <w:jc w:val="left"/>
        <w:rPr/>
      </w:pPr>
    </w:p>
    <w:p w14:paraId="B5802353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一个国家能否从全球开源生态中获益，不仅取决于其贡献量，更取决于其吸收能力（即消化和应用外部开源技术的能力）。吸收能力强的国家能够有效内化全球开源红利，抵消本国知识外溢的损失。</w:t>
      </w:r>
    </w:p>
    <w:p w14:paraId="03DBA20A">
      <w:pPr>
        <w:pStyle w:val="style0"/>
        <w:spacing w:lineRule="auto" w:line="240"/>
        <w:jc w:val="left"/>
        <w:rPr/>
      </w:pPr>
    </w:p>
    <w:p w14:paraId="947CFDCB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实证研究设计</w:t>
      </w:r>
    </w:p>
    <w:p w14:paraId="3141E021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样本选择：选取全球36个主要国家的面板数据。</w:t>
      </w:r>
    </w:p>
    <w:p w14:paraId="A57D712E">
      <w:pPr>
        <w:pStyle w:val="style0"/>
        <w:spacing w:lineRule="auto" w:line="240"/>
        <w:jc w:val="left"/>
        <w:rPr/>
      </w:pPr>
    </w:p>
    <w:p w14:paraId="FDCE181F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理论基础：基于“新经济增长模型”（内生增长理论），将开源贡献作为一种新型的技术投入变量。</w:t>
      </w:r>
    </w:p>
    <w:p w14:paraId="BBA9E0B0">
      <w:pPr>
        <w:pStyle w:val="style0"/>
        <w:spacing w:lineRule="auto" w:line="240"/>
        <w:jc w:val="left"/>
        <w:rPr/>
      </w:pPr>
    </w:p>
    <w:p w14:paraId="7B5F3E77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数据来源：结合GitHub等开源社区的客观活动数据进行量化。</w:t>
      </w:r>
    </w:p>
    <w:p w14:paraId="4DAB63A1">
      <w:pPr>
        <w:pStyle w:val="style0"/>
        <w:spacing w:lineRule="auto" w:line="240"/>
        <w:jc w:val="left"/>
        <w:rPr/>
      </w:pPr>
    </w:p>
    <w:p w14:paraId="4BCD83BB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对策建议（政治经济学及管理启示）</w:t>
      </w:r>
    </w:p>
    <w:p w14:paraId="E16A3B1E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内化知识外溢：政府应出台政策鼓励国内企业在利用开源代码的同时，通过二次开发形成具有竞争力的本地商业化产品，将“公共知识”转化为“经济价值”。</w:t>
      </w:r>
    </w:p>
    <w:p w14:paraId="74C8C50A">
      <w:pPr>
        <w:pStyle w:val="style0"/>
        <w:spacing w:lineRule="auto" w:line="240"/>
        <w:jc w:val="left"/>
        <w:rPr/>
      </w:pPr>
    </w:p>
    <w:p w14:paraId="3C793D0E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强化吸收能力建设：加大对数字基础设施和复合型技术人才的投入，提升国家对全球前沿开源技术的识别、消化和应用水平。</w:t>
      </w:r>
    </w:p>
    <w:p w14:paraId="693525CB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区分领域精准支持：针对具有战略价值的开源领域（如大模型、底层操作系统）建立国家级的治理体系。</w:t>
      </w:r>
    </w:p>
    <w:p w14:paraId="8BCCAC53">
      <w:pPr>
        <w:pStyle w:val="style0"/>
        <w:spacing w:lineRule="auto" w:line="240"/>
        <w:jc w:val="left"/>
        <w:rPr/>
      </w:pPr>
    </w:p>
    <w:p w14:paraId="598479C0">
      <w:pPr>
        <w:pStyle w:val="style0"/>
        <w:adjustRightInd w:val="false"/>
        <w:spacing w:before="320" w:lineRule="auto" w:line="300"/>
        <w:ind w:left="0" w:leftChars="0" w:firstLine="0" w:firstLineChars="0"/>
        <w:jc w:val="both"/>
        <w:outlineLvl w:val="0"/>
        <w:rPr/>
      </w:pPr>
      <w:r>
        <w:rPr>
          <w:rFonts w:ascii="Times New Roman" w:cs="Times New Roman" w:eastAsia="黑体" w:hAnsi="Times New Roman" w:hint="default"/>
          <w:b w:val="false"/>
          <w:bCs w:val="false"/>
          <w:i w:val="false"/>
          <w:iCs w:val="false"/>
          <w:color w:val="000000"/>
          <w:kern w:val="44"/>
          <w:sz w:val="32"/>
          <w:szCs w:val="44"/>
          <w:highlight w:val="none"/>
          <w:vertAlign w:val="baseline"/>
          <w:em w:val="none"/>
          <w:lang w:bidi="ar-SA"/>
        </w:rPr>
        <w:t>读书感悟与学术评价</w:t>
      </w:r>
    </w:p>
    <w:p w14:paraId="4926AA5B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学术价值：本文通过严谨的计量模型，打破了“开源必然促进本国经济”的简单直觉，提出了“知识外溢负面效应”这一深刻命题，对于研一学生理解数字经济中的“公地博弈”极具启发。</w:t>
      </w:r>
    </w:p>
    <w:p w14:paraId="C0828C72">
      <w:pPr>
        <w:pStyle w:val="style0"/>
        <w:spacing w:lineRule="auto" w:line="240"/>
        <w:jc w:val="left"/>
        <w:rPr/>
      </w:pPr>
    </w:p>
    <w:p w14:paraId="66A53A2B">
      <w:pPr>
        <w:pStyle w:val="style0"/>
        <w:adjustRightInd w:val="false"/>
        <w:spacing w:before="100" w:after="100" w:lineRule="auto" w:line="300"/>
        <w:ind w:firstLine="1040" w:firstLineChars="200"/>
        <w:jc w:val="both"/>
        <w:rPr/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专业连接：从政治经济学视角看，这本质上是探讨数字生产力（开源）与国家主权/地理边界生产关系之间的张力。</w:t>
      </w:r>
    </w:p>
    <w:p w14:paraId="A3FD010C">
      <w:pPr>
        <w:pStyle w:val="style0"/>
        <w:spacing w:lineRule="auto" w:line="240"/>
        <w:jc w:val="left"/>
        <w:rPr/>
      </w:pPr>
    </w:p>
    <w:p w14:paraId="8E1553DC">
      <w:pPr>
        <w:pStyle w:val="style0"/>
        <w:adjustRightInd w:val="false"/>
        <w:spacing w:before="100" w:after="100" w:lineRule="auto" w:line="300"/>
        <w:ind w:firstLine="1040" w:firstLineChars="200"/>
        <w:jc w:val="both"/>
        <w:rPr>
          <w:lang w:val="en-US"/>
        </w:rPr>
      </w:pP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bidi="ar-SA"/>
        </w:rPr>
        <w:t>研究局限：实证数据可能更多反映的是公开代码库的活跃度，对于企业内部（内源）或半封闭生态的贡献捕捉尚存空间。</w:t>
      </w:r>
    </w:p>
    <w:p w14:paraId="95CA7D69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黑体"/>
    <w:panose1 w:val="02010600030000010101"/>
    <w:charset w:val="7a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next w:val="style66"/>
    <w:pPr>
      <w:widowControl w:val="false"/>
      <w:adjustRightInd w:val="false"/>
      <w:spacing w:before="100" w:after="100" w:lineRule="auto" w:line="300"/>
      <w:ind w:left="0" w:right="0" w:firstLine="1040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1">
    <w:name w:val="heading 1"/>
    <w:next w:val="style1"/>
    <w:qFormat/>
    <w:pPr>
      <w:widowControl w:val="false"/>
      <w:adjustRightInd w:val="false"/>
      <w:spacing w:before="320" w:after="0" w:lineRule="auto" w:line="300"/>
      <w:ind w:left="0" w:right="0"/>
      <w:jc w:val="both"/>
      <w:outlineLvl w:val="0"/>
    </w:pPr>
    <w:rPr>
      <w:rFonts w:ascii="Times New Roman" w:cs="Times New Roman" w:eastAsia="黑体" w:hAnsi="Times New Roman"/>
      <w:b w:val="false"/>
      <w:bCs w:val="false"/>
      <w:color w:val="000000"/>
      <w:kern w:val="44"/>
      <w:sz w:val="32"/>
      <w:szCs w:val="44"/>
      <w:lang w:bidi="ar-SA"/>
    </w:rPr>
  </w:style>
  <w:style w:type="paragraph" w:styleId="style2">
    <w:name w:val="heading 2"/>
    <w:next w:val="style2"/>
    <w:qFormat/>
    <w:pPr>
      <w:widowControl w:val="false"/>
      <w:adjustRightInd w:val="false"/>
      <w:spacing w:before="280" w:after="0" w:lineRule="auto" w:line="300"/>
      <w:ind w:left="0" w:right="0"/>
      <w:jc w:val="both"/>
      <w:outlineLvl w:val="1"/>
    </w:pPr>
    <w:rPr>
      <w:rFonts w:ascii="Times New Roman" w:cs="Times New Roman" w:eastAsia="黑体" w:hAnsi="Times New Roman"/>
      <w:b w:val="false"/>
      <w:bCs w:val="false"/>
      <w:kern w:val="2"/>
      <w:sz w:val="30"/>
      <w:szCs w:val="32"/>
      <w:lang w:bidi="ar-SA"/>
    </w:rPr>
  </w:style>
  <w:style w:type="paragraph" w:styleId="style62">
    <w:name w:val="Title"/>
    <w:next w:val="style62"/>
    <w:qFormat/>
    <w:pPr>
      <w:widowControl w:val="false"/>
      <w:adjustRightInd w:val="false"/>
      <w:spacing w:before="100" w:after="100" w:lineRule="auto" w:line="240"/>
      <w:ind w:left="0" w:right="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1054</Words>
  <Characters>1064</Characters>
  <Application>WPS Office</Application>
  <Paragraphs>50</Paragraphs>
  <CharactersWithSpaces>1066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2025-12-25T09:08:21Z</dcterms:created>
  <dc:creator>WEB-W00</dc:creator>
  <lastModifiedBy>WEB-W00</lastModifiedBy>
  <dcterms:modified xsi:type="dcterms:W3CDTF">2025-12-25T09:11:58Z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2a5d4c518da548d18b2e06302cd60636_21</vt:lpwstr>
  </property>
</Properties>
</file>