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B473F5">
      <w:pPr>
        <w:pStyle w:val="style0"/>
        <w:adjustRightInd w:val="false"/>
        <w:spacing w:before="100" w:after="100" w:lineRule="auto" w:line="240"/>
        <w:jc w:val="center"/>
        <w:outlineLvl w:val="9"/>
        <w:rPr/>
      </w:pPr>
      <w:bookmarkStart w:id="0" w:name="_GoBack"/>
      <w:bookmarkEnd w:id="0"/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读书笔记：《开源创新：赋能数字经济高质量发展》</w:t>
      </w:r>
    </w:p>
    <w:p w14:paraId="06D6ECDE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文献背景与核心定义</w:t>
      </w:r>
    </w:p>
    <w:p w14:paraId="0B3547A5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政策背景：2021年开源首次被写入国家“十四五”规划。</w:t>
      </w:r>
    </w:p>
    <w:p w14:paraId="4AA7EBA1">
      <w:pPr>
        <w:pStyle w:val="style0"/>
        <w:spacing w:lineRule="auto" w:line="240"/>
        <w:jc w:val="left"/>
        <w:rPr/>
      </w:pPr>
    </w:p>
    <w:p w14:paraId="AA765507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开源特征：平等、开放、协作、共享。</w:t>
      </w:r>
    </w:p>
    <w:p w14:paraId="79717FD7">
      <w:pPr>
        <w:pStyle w:val="style0"/>
        <w:spacing w:lineRule="auto" w:line="240"/>
        <w:jc w:val="left"/>
        <w:rPr/>
      </w:pPr>
    </w:p>
    <w:p w14:paraId="0F7ED114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核心逻辑：开源不仅是技术研发模式，更是驱动数字技术创新、优化软件生产模式、赋能传统行业转型的核心引擎。</w:t>
      </w:r>
    </w:p>
    <w:p w14:paraId="2F0AB0EB">
      <w:pPr>
        <w:pStyle w:val="style0"/>
        <w:spacing w:lineRule="auto" w:line="240"/>
        <w:jc w:val="left"/>
        <w:rPr/>
      </w:pPr>
    </w:p>
    <w:p w14:paraId="00474CA1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核心观点提炼</w:t>
      </w:r>
    </w:p>
    <w:p w14:paraId="43024E82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中国开源生态的“提质增效”</w:t>
      </w:r>
    </w:p>
    <w:p w14:paraId="2822383E">
      <w:pPr>
        <w:pStyle w:val="style0"/>
        <w:spacing w:lineRule="auto" w:line="240"/>
        <w:jc w:val="left"/>
        <w:rPr/>
      </w:pPr>
    </w:p>
    <w:p w14:paraId="827DD639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增长态势：中国已成为全球开源市场的增长极。开发者数量、项目质量、社区活跃度持续攀升。</w:t>
      </w:r>
    </w:p>
    <w:p w14:paraId="C8AF0DE7">
      <w:pPr>
        <w:pStyle w:val="style0"/>
        <w:spacing w:lineRule="auto" w:line="240"/>
        <w:jc w:val="left"/>
        <w:rPr/>
      </w:pPr>
    </w:p>
    <w:p w14:paraId="75A73420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全链条覆盖：开源软件已从底层的操作系统、数据库、中间件，全面渗透到前端应用及云原生技术领域。</w:t>
      </w:r>
    </w:p>
    <w:p w14:paraId="FA917402">
      <w:pPr>
        <w:pStyle w:val="style0"/>
        <w:spacing w:lineRule="auto" w:line="240"/>
        <w:jc w:val="left"/>
        <w:rPr/>
      </w:pPr>
    </w:p>
    <w:p w14:paraId="35BC9215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市场吸引力：中国庞大的市场容量和完善的产业链正在吸引全球开源项目“逆流”进入中国。</w:t>
      </w:r>
    </w:p>
    <w:p w14:paraId="7B2489D5">
      <w:pPr>
        <w:pStyle w:val="style0"/>
        <w:spacing w:lineRule="auto" w:line="240"/>
        <w:jc w:val="left"/>
        <w:rPr/>
      </w:pPr>
    </w:p>
    <w:p w14:paraId="1ACB1C59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开源对数字经济的赋能路径</w:t>
      </w:r>
    </w:p>
    <w:p w14:paraId="81DC8CF6">
      <w:pPr>
        <w:pStyle w:val="style0"/>
        <w:spacing w:lineRule="auto" w:line="240"/>
        <w:jc w:val="left"/>
        <w:rPr/>
      </w:pPr>
    </w:p>
    <w:p w14:paraId="6D791511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助力降本增效：通过代码复用和社区协作，企业能够降低研发门槛，将资源集中在核心业务逻辑的创新上。</w:t>
      </w:r>
    </w:p>
    <w:p w14:paraId="B7E56C79">
      <w:pPr>
        <w:pStyle w:val="style0"/>
        <w:spacing w:lineRule="auto" w:line="240"/>
        <w:jc w:val="left"/>
        <w:rPr/>
      </w:pPr>
    </w:p>
    <w:p w14:paraId="37BDC166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加速数字化转型：传统行业利用成熟的开源方案（如大数据、AI框架），可以实现跨越式的技术升级。</w:t>
      </w:r>
    </w:p>
    <w:p w14:paraId="87003872">
      <w:pPr>
        <w:pStyle w:val="style0"/>
        <w:spacing w:lineRule="auto" w:line="240"/>
        <w:jc w:val="left"/>
        <w:rPr/>
      </w:pPr>
    </w:p>
    <w:p w14:paraId="67A98B99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优化生产模式：从传统的“孤岛式研发”转向全球范围内的“群智创新”，提升了社会总生产效率。</w:t>
      </w:r>
    </w:p>
    <w:p w14:paraId="99A0EC05">
      <w:pPr>
        <w:pStyle w:val="style0"/>
        <w:spacing w:lineRule="auto" w:line="240"/>
        <w:jc w:val="left"/>
        <w:rPr/>
      </w:pPr>
    </w:p>
    <w:p w14:paraId="50650A68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开源生态体系的六大维度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文献指出中国开源正在全方位完善：</w:t>
      </w:r>
    </w:p>
    <w:p w14:paraId="8A6425F6">
      <w:pPr>
        <w:pStyle w:val="style0"/>
        <w:spacing w:lineRule="auto" w:line="240"/>
        <w:jc w:val="left"/>
        <w:rPr/>
      </w:pPr>
    </w:p>
    <w:p w14:paraId="25B2D28F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基金会建设：如开放原子开源基金会等专业组织的成立，提供了合规性保障。</w:t>
      </w:r>
    </w:p>
    <w:p w14:paraId="FC7B94BC">
      <w:pPr>
        <w:pStyle w:val="style0"/>
        <w:spacing w:lineRule="auto" w:line="240"/>
        <w:jc w:val="left"/>
        <w:rPr/>
      </w:pPr>
    </w:p>
    <w:p w14:paraId="2C17D24A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知识产权治理：中国自主的开源许可证（如木兰协议）逐步获得国际认可，保护了创新成果。</w:t>
      </w:r>
    </w:p>
    <w:p w14:paraId="798B2AA1">
      <w:pPr>
        <w:pStyle w:val="style0"/>
        <w:spacing w:lineRule="auto" w:line="240"/>
        <w:jc w:val="left"/>
        <w:rPr/>
      </w:pPr>
    </w:p>
    <w:p w14:paraId="53F7458B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商业模式创新：从简单的技术支持转向云服务、商业发行版等多元盈利模式。</w:t>
      </w:r>
    </w:p>
    <w:p w14:paraId="5259F710">
      <w:pPr>
        <w:pStyle w:val="style0"/>
        <w:spacing w:lineRule="auto" w:line="240"/>
        <w:jc w:val="left"/>
        <w:rPr/>
      </w:pPr>
    </w:p>
    <w:p w14:paraId="8845E59A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投融资与服务：投融资市场对开源初创公司的热度持续提升。</w:t>
      </w:r>
    </w:p>
    <w:p w14:paraId="0AE8DA0E">
      <w:pPr>
        <w:pStyle w:val="style0"/>
        <w:spacing w:lineRule="auto" w:line="240"/>
        <w:jc w:val="left"/>
        <w:rPr/>
      </w:pPr>
    </w:p>
    <w:p w14:paraId="4D4A1699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政治经济学视角的深度解析</w:t>
      </w:r>
    </w:p>
    <w:p w14:paraId="27E85A67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生产关系的重塑：开源体现了从“私有产权垄断”向“协作共享”的转变。这种模式减少了数字霸权，使得技术要素在全社会范围内更公平地流动，符合“共享发展”的政治经济学理念。</w:t>
      </w:r>
    </w:p>
    <w:p w14:paraId="DDB5212B">
      <w:pPr>
        <w:pStyle w:val="style0"/>
        <w:spacing w:lineRule="auto" w:line="240"/>
        <w:jc w:val="left"/>
        <w:rPr/>
      </w:pPr>
    </w:p>
    <w:p w14:paraId="CA8BE3F5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全球价值链重构：中国从开源的“使用者”向“贡献者”乃至“引领者”转变，实质上是在提升中国在数字经济全球分工中的地位，争夺技术话语权。</w:t>
      </w:r>
    </w:p>
    <w:p w14:paraId="C606CAC5">
      <w:pPr>
        <w:pStyle w:val="style0"/>
        <w:spacing w:lineRule="auto" w:line="240"/>
        <w:jc w:val="left"/>
        <w:rPr/>
      </w:pPr>
    </w:p>
    <w:p w14:paraId="524BE486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读书感悟与启发</w:t>
      </w:r>
    </w:p>
    <w:p w14:paraId="2C1E1562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从“拿来主义”到“自主引领”：文献强调了中国开源的飞速发展，但作为研究者，我们应思考如何从单纯的贡献数量提升转变为核心技术（如内核代码）的主导力提升。</w:t>
      </w:r>
    </w:p>
    <w:p w14:paraId="F1EC2952">
      <w:pPr>
        <w:pStyle w:val="style0"/>
        <w:spacing w:lineRule="auto" w:line="240"/>
        <w:jc w:val="left"/>
        <w:rPr/>
      </w:pPr>
    </w:p>
    <w:p w14:paraId="1CA3887A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治理与安全并重：在追求高质量发展的过程中，开源软件的安全性和供应链的稳健性（防断供、防漏洞）是未来研究的关键课题。</w:t>
      </w:r>
    </w:p>
    <w:p w14:paraId="ADC32C97">
      <w:pPr>
        <w:pStyle w:val="style0"/>
        <w:spacing w:lineRule="auto" w:line="240"/>
        <w:jc w:val="left"/>
        <w:rPr/>
      </w:pPr>
    </w:p>
    <w:p w14:paraId="2E85DA08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政策红利的延续：建议关注“十四五”之后，国家在开源法律地位、政府采购倾向性以及教育体系（开源进校园）方面的配套政策变化。</w:t>
      </w:r>
    </w:p>
    <w:p w14:paraId="7C9E8881">
      <w:pPr>
        <w:pStyle w:val="style0"/>
        <w:spacing w:lineRule="auto" w:line="240"/>
        <w:jc w:val="left"/>
        <w:rPr/>
      </w:pPr>
    </w:p>
    <w:p w14:paraId="31D5C3EB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核心金句摘录</w:t>
      </w:r>
    </w:p>
    <w:p w14:paraId="9B67F0A4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“中国正在成为全球开源市场的增长点，极大的市场容量、完善的产业链、快速的迭代能力正吸引全球的开源项目进入中国市场。”</w:t>
      </w:r>
    </w:p>
    <w:p w14:paraId="9B71D3F6">
      <w:pPr>
        <w:pStyle w:val="style0"/>
        <w:spacing w:lineRule="auto" w:line="240"/>
        <w:jc w:val="left"/>
        <w:rPr/>
      </w:pPr>
    </w:p>
    <w:p w14:paraId="E643C664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“开源凭借其平等、开放、协作、共享的优秀创作模式，正持续成为助力企业降本增效的重要引擎。”</w:t>
      </w:r>
    </w:p>
    <w:p w14:paraId="F303CD8A">
      <w:pPr>
        <w:pStyle w:val="style0"/>
        <w:spacing w:lineRule="auto" w:line="240"/>
        <w:jc w:val="left"/>
        <w:rPr/>
      </w:pPr>
    </w:p>
    <w:p w14:paraId="1437CFCE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建议：在撰写论文时，您可以引用本文中关于“中国开源开发者数量增长”和“国产许可证国际化”的数据，作为论述“中国开源现状”的重要支撑材料。</w:t>
      </w:r>
    </w:p>
    <w:p w14:paraId="3250697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0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66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1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2">
    <w:name w:val="heading 2"/>
    <w:next w:val="style2"/>
    <w:qFormat/>
    <w:pPr>
      <w:widowControl w:val="false"/>
      <w:adjustRightInd w:val="false"/>
      <w:spacing w:before="280" w:after="0" w:lineRule="auto" w:line="300"/>
      <w:ind w:left="0" w:right="0"/>
      <w:jc w:val="both"/>
      <w:outlineLvl w:val="1"/>
    </w:pPr>
    <w:rPr>
      <w:rFonts w:ascii="Times New Roman" w:cs="Times New Roman" w:eastAsia="黑体" w:hAnsi="Times New Roman"/>
      <w:b w:val="false"/>
      <w:bCs w:val="false"/>
      <w:kern w:val="2"/>
      <w:sz w:val="30"/>
      <w:szCs w:val="32"/>
      <w:lang w:bidi="ar-SA"/>
    </w:rPr>
  </w:style>
  <w:style w:type="paragraph" w:styleId="style62">
    <w:name w:val="Title"/>
    <w:next w:val="style62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1119</Words>
  <Characters>1123</Characters>
  <Application>WPS Office</Application>
  <Paragraphs>54</Paragraphs>
  <CharactersWithSpaces>1124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2025-12-25T09:00:03Z</dcterms:created>
  <dc:creator>WEB-W00</dc:creator>
  <lastModifiedBy>WEB-W00</lastModifiedBy>
  <dcterms:modified xsi:type="dcterms:W3CDTF">2025-12-25T09:16:07Z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75a7de125b6848bbbf851b7cd975dcaa_21</vt:lpwstr>
  </property>
</Properties>
</file>