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Immigration Deadline Review</w:t>
      </w:r>
    </w:p>
    <w:p>
      <w:pPr>
        <w:spacing w:after="60"/>
      </w:pPr>
      <w:r>
        <w:rPr>
          <w:rFonts w:ascii="Arial" w:cs="Arial" w:eastAsia="Arial" w:hAnsi="Arial"/>
          <w:i/>
          <w:iCs/>
          <w:color w:val="595959"/>
          <w:sz w:val="24"/>
          <w:szCs w:val="24"/>
        </w:rPr>
        <w:t xml:space="preserve">Honduras — Asylum / Removal Defense</w:t>
      </w:r>
    </w:p>
    <w:p>
      <w:pPr>
        <w:spacing w:after="240"/>
      </w:pPr>
      <w:r>
        <w:rPr>
          <w:rFonts w:ascii="Arial" w:cs="Arial" w:eastAsia="Arial" w:hAnsi="Arial"/>
          <w:color w:val="595959"/>
          <w:sz w:val="18"/>
          <w:szCs w:val="18"/>
        </w:rPr>
        <w:t xml:space="preserve">Prepared: May 21, 2026   |   Attorney Review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0"/>
            </w:pPr>
            <w:r>
              <w:rPr>
                <w:rFonts w:ascii="Arial" w:cs="Arial" w:eastAsia="Arial" w:hAnsi="Arial"/>
                <w:b/>
                <w:bCs/>
                <w:color w:val="7B0000"/>
                <w:sz w:val="20"/>
                <w:szCs w:val="20"/>
              </w:rPr>
              <w:t xml:space="preserve">HIGH URGENCY. </w:t>
            </w:r>
            <w:r>
              <w:rPr>
                <w:rFonts w:ascii="Arial" w:cs="Arial" w:eastAsia="Arial" w:hAnsi="Arial"/>
                <w:color w:val="7B0000"/>
                <w:sz w:val="20"/>
                <w:szCs w:val="20"/>
              </w:rPr>
              <w:t xml:space="preserve">Multiple time-sensitive issues require attorney review today. Do not defer.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pPr>
            <w:r>
              <w:rPr>
                <w:rFonts w:ascii="Arial" w:cs="Arial" w:eastAsia="Arial" w:hAnsi="Arial"/>
                <w:b/>
                <w:bCs/>
                <w:color w:val="7B4F00"/>
                <w:sz w:val="20"/>
                <w:szCs w:val="20"/>
              </w:rPr>
              <w:t xml:space="preserve">ATTORNEY REVIEW DRAFT. </w:t>
            </w:r>
            <w:r>
              <w:rPr>
                <w:rFonts w:ascii="Arial" w:cs="Arial" w:eastAsia="Arial" w:hAnsi="Arial"/>
                <w:color w:val="7B4F00"/>
                <w:sz w:val="20"/>
                <w:szCs w:val="20"/>
              </w:rPr>
              <w:t xml:space="preserve">All dates marked estimated require independent verification. Do not calendar unconfirmed dates.</w:t>
            </w:r>
          </w:p>
        </w:tc>
      </w:tr>
    </w:tbl>
    <w:p>
      <w:pPr>
        <w:spacing w:after="80"/>
      </w:pPr>
      <w:r>
        <w:t xml:space="preserve"/>
      </w:r>
    </w:p>
    <w:p>
      <w:pPr>
        <w:pBdr>
          <w:bottom w:val="single" w:color="CCCCCC" w:sz="4" w:space="1"/>
        </w:pBdr>
        <w:spacing w:after="120"/>
      </w:pPr>
      <w:r>
        <w:t xml:space="preserve"/>
      </w:r>
    </w:p>
    <w:p>
      <w:pPr>
        <w:pStyle w:val="Heading1"/>
        <w:spacing w:after="120" w:before="320"/>
      </w:pPr>
      <w:r>
        <w:rPr>
          <w:rFonts w:ascii="Arial" w:cs="Arial" w:eastAsia="Arial" w:hAnsi="Arial"/>
          <w:b/>
          <w:bCs/>
          <w:color w:val="1F3864"/>
          <w:sz w:val="28"/>
          <w:szCs w:val="28"/>
        </w:rPr>
        <w:t xml:space="preserve">1. Matter Summary</w:t>
      </w:r>
    </w:p>
    <w:p>
      <w:pPr>
        <w:spacing w:after="80"/>
      </w:pPr>
      <w:r>
        <w:rPr>
          <w:rFonts w:ascii="Arial" w:cs="Arial" w:eastAsia="Arial" w:hAnsi="Arial"/>
          <w:b/>
          <w:bCs/>
          <w:color w:val="1A1A1A"/>
          <w:sz w:val="20"/>
          <w:szCs w:val="20"/>
        </w:rPr>
        <w:t xml:space="preserve">Client name: </w:t>
      </w:r>
      <w:r>
        <w:rPr>
          <w:rFonts w:ascii="Arial" w:cs="Arial" w:eastAsia="Arial" w:hAnsi="Arial"/>
          <w:color w:val="1A1A1A"/>
          <w:sz w:val="20"/>
          <w:szCs w:val="20"/>
        </w:rPr>
        <w:t xml:space="preserve">Not provided</w:t>
      </w:r>
    </w:p>
    <w:p>
      <w:pPr>
        <w:spacing w:after="80"/>
      </w:pPr>
      <w:r>
        <w:rPr>
          <w:rFonts w:ascii="Arial" w:cs="Arial" w:eastAsia="Arial" w:hAnsi="Arial"/>
          <w:b/>
          <w:bCs/>
          <w:color w:val="1A1A1A"/>
          <w:sz w:val="20"/>
          <w:szCs w:val="20"/>
        </w:rPr>
        <w:t xml:space="preserve">Matter type: </w:t>
      </w:r>
      <w:r>
        <w:rPr>
          <w:rFonts w:ascii="Arial" w:cs="Arial" w:eastAsia="Arial" w:hAnsi="Arial"/>
          <w:color w:val="1A1A1A"/>
          <w:sz w:val="20"/>
          <w:szCs w:val="20"/>
        </w:rPr>
        <w:t xml:space="preserve">Asylum — removal defense</w:t>
      </w:r>
    </w:p>
    <w:p>
      <w:pPr>
        <w:spacing w:after="80"/>
      </w:pPr>
      <w:r>
        <w:rPr>
          <w:rFonts w:ascii="Arial" w:cs="Arial" w:eastAsia="Arial" w:hAnsi="Arial"/>
          <w:b/>
          <w:bCs/>
          <w:color w:val="1A1A1A"/>
          <w:sz w:val="20"/>
          <w:szCs w:val="20"/>
        </w:rPr>
        <w:t xml:space="preserve">Humanitarian category: </w:t>
      </w:r>
      <w:r>
        <w:rPr>
          <w:rFonts w:ascii="Arial" w:cs="Arial" w:eastAsia="Arial" w:hAnsi="Arial"/>
          <w:color w:val="1A1A1A"/>
          <w:sz w:val="20"/>
          <w:szCs w:val="20"/>
        </w:rPr>
        <w:t xml:space="preserve">Asylum, withholding of removal (potential); one-year bar issue flagged</w:t>
      </w:r>
    </w:p>
    <w:p>
      <w:pPr>
        <w:spacing w:after="80"/>
      </w:pPr>
      <w:r>
        <w:rPr>
          <w:rFonts w:ascii="Arial" w:cs="Arial" w:eastAsia="Arial" w:hAnsi="Arial"/>
          <w:b/>
          <w:bCs/>
          <w:color w:val="1A1A1A"/>
          <w:sz w:val="20"/>
          <w:szCs w:val="20"/>
        </w:rPr>
        <w:t xml:space="preserve">Current procedural posture: </w:t>
      </w:r>
      <w:r>
        <w:rPr>
          <w:rFonts w:ascii="Arial" w:cs="Arial" w:eastAsia="Arial" w:hAnsi="Arial"/>
          <w:color w:val="1A1A1A"/>
          <w:sz w:val="20"/>
          <w:szCs w:val="20"/>
        </w:rPr>
        <w:t xml:space="preserve">In removal proceedings before EOIR; master calendar hearing attended; next hearing believed ~25 days away; asylum application filed April 2024</w:t>
      </w:r>
    </w:p>
    <w:p>
      <w:pPr>
        <w:spacing w:after="80"/>
      </w:pPr>
      <w:r>
        <w:rPr>
          <w:rFonts w:ascii="Arial" w:cs="Arial" w:eastAsia="Arial" w:hAnsi="Arial"/>
          <w:b/>
          <w:bCs/>
          <w:color w:val="1A1A1A"/>
          <w:sz w:val="20"/>
          <w:szCs w:val="20"/>
        </w:rPr>
        <w:t xml:space="preserve">Court or USCIS stage: </w:t>
      </w:r>
      <w:r>
        <w:rPr>
          <w:rFonts w:ascii="Arial" w:cs="Arial" w:eastAsia="Arial" w:hAnsi="Arial"/>
          <w:color w:val="1A1A1A"/>
          <w:sz w:val="20"/>
          <w:szCs w:val="20"/>
        </w:rPr>
        <w:t xml:space="preserve">Immigration court (EOIR) — master calendar phase; pending work authorization renewal at USCIS</w:t>
      </w:r>
    </w:p>
    <w:p>
      <w:pPr>
        <w:spacing w:after="80"/>
      </w:pPr>
      <w:r>
        <w:rPr>
          <w:rFonts w:ascii="Arial" w:cs="Arial" w:eastAsia="Arial" w:hAnsi="Arial"/>
          <w:b/>
          <w:bCs/>
          <w:color w:val="1A1A1A"/>
          <w:sz w:val="20"/>
          <w:szCs w:val="20"/>
        </w:rPr>
        <w:t xml:space="preserve">Custody/detention status: </w:t>
      </w:r>
      <w:r>
        <w:rPr>
          <w:rFonts w:ascii="Arial" w:cs="Arial" w:eastAsia="Arial" w:hAnsi="Arial"/>
          <w:color w:val="1A1A1A"/>
          <w:sz w:val="20"/>
          <w:szCs w:val="20"/>
        </w:rPr>
        <w:t xml:space="preserve">Not detained; recently moved — address update to immigration court unconfirmed</w:t>
      </w:r>
    </w:p>
    <w:p>
      <w:pPr>
        <w:spacing w:after="80"/>
      </w:pPr>
      <w:r>
        <w:t xml:space="preserve"/>
      </w:r>
    </w:p>
    <w:p>
      <w:pPr>
        <w:pStyle w:val="Heading1"/>
        <w:spacing w:after="120" w:before="320"/>
      </w:pPr>
      <w:r>
        <w:rPr>
          <w:rFonts w:ascii="Arial" w:cs="Arial" w:eastAsia="Arial" w:hAnsi="Arial"/>
          <w:b/>
          <w:bCs/>
          <w:color w:val="1F3864"/>
          <w:sz w:val="28"/>
          <w:szCs w:val="28"/>
        </w:rPr>
        <w:t xml:space="preserve">2. Confirmed Deadlines &amp;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Deadline / Event</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Source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Date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Confidence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U.S. Entry</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Client statement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March 2023 (exact date unknown)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Likely but verify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Receipt of Notice to Appear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Client statement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Shortly after March 2023 — exact date unknown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Estimated from context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One-year asylum filing deadline (calculated)</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Entry date March 2023 → deadline ~March 2024</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~March 2024</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Estimated — verify against exact entry date and NTA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Asylum application filed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Intake notes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April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Likely but verify — receipt notice needed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Prior master calendar hearing</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Client statement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Unknown — attended once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Unclear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Next master calendar hearing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Client statement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~25 days from intake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Estimated from context — verify in EOIR immediately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Biometrics appointment (EAD renewal)</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USCIS notice (partial, misplaced)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Unknown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Unclear — notice must be recovered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Work permit (EAD) expiration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Not stated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Unknown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Unclear — must be confirmed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Address update to immigration court (EOIR-33)</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Client action needed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Overdue — client recently moved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Estimated from context — urgent</w:t>
            </w:r>
          </w:p>
        </w:tc>
      </w:tr>
    </w:tbl>
    <w:p>
      <w:pPr>
        <w:spacing w:after="80"/>
      </w:pPr>
      <w:r>
        <w:t xml:space="preserve"/>
      </w:r>
    </w:p>
    <w:p>
      <w:pPr>
        <w:spacing w:after="80"/>
      </w:pPr>
      <w:r>
        <w:rPr>
          <w:rFonts w:ascii="Arial" w:cs="Arial" w:eastAsia="Arial" w:hAnsi="Arial"/>
          <w:i/>
          <w:iCs/>
          <w:color w:val="595959"/>
          <w:sz w:val="20"/>
          <w:szCs w:val="20"/>
        </w:rPr>
        <w:t xml:space="preserve">Note: All dates marked "Estimated from context" or "Unclear" require independent verification before any deadlines are calendared or relied upon. Do not calendar estimated dates without confirmation from primary sources (EOIR, USCIS, court notice, receipt notice).</w:t>
      </w:r>
    </w:p>
    <w:p>
      <w:pPr>
        <w:spacing w:after="80"/>
      </w:pPr>
      <w:r>
        <w:t xml:space="preserve"/>
      </w:r>
    </w:p>
    <w:p>
      <w:pPr>
        <w:pStyle w:val="Heading1"/>
        <w:spacing w:after="120" w:before="320"/>
      </w:pPr>
      <w:r>
        <w:rPr>
          <w:rFonts w:ascii="Arial" w:cs="Arial" w:eastAsia="Arial" w:hAnsi="Arial"/>
          <w:b/>
          <w:bCs/>
          <w:color w:val="1F3864"/>
          <w:sz w:val="28"/>
          <w:szCs w:val="28"/>
        </w:rPr>
        <w:t xml:space="preserve">3. Potential Urgency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Concern</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Why It Matters</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Recommended Action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Upcoming master calendar hearing (~25 days)</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If the hearing date is missed, the client risks an in absentia removal order — difficult to rescind and may result in deportation.</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Verify hearing date in EOIR portal or CMS immediately. Do not rely on client's estimate. Escalate to attorney today.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One-year asylum filing bar — likely triggered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Entry March 2023, application filed April 2024: approximately 13 months after entry, one month past the statutory deadline. If no exception applies, asylum may be time-barred.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Attorney must analyze immediately. Identify whether changed or extraordinary circumstances apply. Case-dispositive issue — do not defer.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Biometrics appointment — notice misplaced</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Missing the appointment can result in denial of EAD renewal on abandonment grounds. If work permit expires, client loses lawful employment authorization.</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Recover the full notice or check USCIS online account. If appointment has passed, contact USCIS to reschedule. Attorney to advise on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Address not updated with immigration court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Under 8 C.F.R. 1003.15, respondents must notify the immigration court of address changes within 5 days via EOIR-33. Failure can result in notices sent to old address and an in absentia removal order.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File EOIR-33 immediately. Confirm court has the correct address on file before the next hearing. This is not optional.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Work permit expiration unknown</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If EAD expires before renewal is approved and the biometrics issue is unresolved, client may be working without authorization.</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Confirm current EAD expiration date. Verify renewal application status with USCIS.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Exact hearing date unconfirmed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Client's estimate of approximately 25 days may be incorrect. If the actual hearing is sooner, there may be no time for proper preparation.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Do not plan around the 25-day estimate. Pull the confirmed date from EOIR or the court notice today.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One-year bar exception analysis not done</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If the bar applies and no exception is identified, withholding of removal and CAT are the only remaining protective grounds — both carry higher burdens of proof.</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Attorney must assess whether any exception applies before the next hearing.</w:t>
            </w:r>
          </w:p>
        </w:tc>
      </w:tr>
    </w:tbl>
    <w:p>
      <w:pPr>
        <w:spacing w:after="80"/>
      </w:pPr>
      <w:r>
        <w:t xml:space="preserve"/>
      </w:r>
    </w:p>
    <w:p>
      <w:pPr>
        <w:pStyle w:val="Heading1"/>
        <w:spacing w:after="120" w:before="320"/>
      </w:pPr>
      <w:r>
        <w:rPr>
          <w:rFonts w:ascii="Arial" w:cs="Arial" w:eastAsia="Arial" w:hAnsi="Arial"/>
          <w:b/>
          <w:bCs/>
          <w:color w:val="1F3864"/>
          <w:sz w:val="28"/>
          <w:szCs w:val="28"/>
        </w:rPr>
        <w:t xml:space="preserve">4. Missing Timeline Information</w:t>
      </w:r>
    </w:p>
    <w:p>
      <w:pPr>
        <w:spacing w:after="60" w:before="160"/>
      </w:pPr>
      <w:r>
        <w:rPr>
          <w:rFonts w:ascii="Arial" w:cs="Arial" w:eastAsia="Arial" w:hAnsi="Arial"/>
          <w:b/>
          <w:bCs/>
          <w:color w:val="1A1A1A"/>
          <w:sz w:val="22"/>
          <w:szCs w:val="22"/>
          <w:u w:val="single"/>
        </w:rPr>
        <w:t xml:space="preserve">Entry and Filing Dates</w:t>
      </w:r>
    </w:p>
    <w:p>
      <w:pPr>
        <w:pStyle w:val="ListParagraph"/>
        <w:numPr>
          <w:ilvl w:val="0"/>
          <w:numId w:val="2"/>
        </w:numPr>
        <w:spacing w:after="40"/>
      </w:pPr>
      <w:r>
        <w:rPr>
          <w:rFonts w:ascii="Arial" w:cs="Arial" w:eastAsia="Arial" w:hAnsi="Arial"/>
          <w:b/>
          <w:bCs/>
          <w:color w:val="1A1A1A"/>
          <w:sz w:val="20"/>
          <w:szCs w:val="20"/>
        </w:rPr>
        <w:t xml:space="preserve">Exact date of entry in March 2023 — needed to calculate the one-year bar precisely; 'March 2023' is insufficient</w:t>
      </w:r>
    </w:p>
    <w:p>
      <w:pPr>
        <w:pStyle w:val="ListParagraph"/>
        <w:numPr>
          <w:ilvl w:val="0"/>
          <w:numId w:val="2"/>
        </w:numPr>
        <w:spacing w:after="40"/>
      </w:pPr>
      <w:r>
        <w:rPr>
          <w:rFonts w:ascii="Arial" w:cs="Arial" w:eastAsia="Arial" w:hAnsi="Arial"/>
          <w:b w:val="false"/>
          <w:bCs w:val="false"/>
          <w:color w:val="1A1A1A"/>
          <w:sz w:val="20"/>
          <w:szCs w:val="20"/>
        </w:rPr>
        <w:t xml:space="preserve">Exact date NTA was issued and served — may affect filing deadline if extraordinary circumstances are raised</w:t>
      </w:r>
    </w:p>
    <w:p>
      <w:pPr>
        <w:pStyle w:val="ListParagraph"/>
        <w:numPr>
          <w:ilvl w:val="0"/>
          <w:numId w:val="2"/>
        </w:numPr>
        <w:spacing w:after="40"/>
      </w:pPr>
      <w:r>
        <w:rPr>
          <w:rFonts w:ascii="Arial" w:cs="Arial" w:eastAsia="Arial" w:hAnsi="Arial"/>
          <w:b w:val="false"/>
          <w:bCs w:val="false"/>
          <w:color w:val="1A1A1A"/>
          <w:sz w:val="20"/>
          <w:szCs w:val="20"/>
        </w:rPr>
        <w:t xml:space="preserve">Exact date asylum application (I-589) was filed — receipt notice required to confirm April 2024 date</w:t>
      </w:r>
    </w:p>
    <w:p>
      <w:pPr>
        <w:pStyle w:val="ListParagraph"/>
        <w:numPr>
          <w:ilvl w:val="0"/>
          <w:numId w:val="2"/>
        </w:numPr>
        <w:spacing w:after="40"/>
      </w:pPr>
      <w:r>
        <w:rPr>
          <w:rFonts w:ascii="Arial" w:cs="Arial" w:eastAsia="Arial" w:hAnsi="Arial"/>
          <w:b w:val="false"/>
          <w:bCs w:val="false"/>
          <w:color w:val="1A1A1A"/>
          <w:sz w:val="20"/>
          <w:szCs w:val="20"/>
        </w:rPr>
        <w:t xml:space="preserve">Whether I-589 was filed with USCIS (affirmative) or with the immigration court (defensive)</w:t>
      </w:r>
    </w:p>
    <w:p>
      <w:pPr>
        <w:spacing w:after="80"/>
      </w:pPr>
      <w:r>
        <w:t xml:space="preserve"/>
      </w:r>
    </w:p>
    <w:p>
      <w:pPr>
        <w:spacing w:after="60" w:before="160"/>
      </w:pPr>
      <w:r>
        <w:rPr>
          <w:rFonts w:ascii="Arial" w:cs="Arial" w:eastAsia="Arial" w:hAnsi="Arial"/>
          <w:b/>
          <w:bCs/>
          <w:color w:val="1A1A1A"/>
          <w:sz w:val="22"/>
          <w:szCs w:val="22"/>
          <w:u w:val="single"/>
        </w:rPr>
        <w:t xml:space="preserve">Hearing Information</w:t>
      </w:r>
    </w:p>
    <w:p>
      <w:pPr>
        <w:pStyle w:val="ListParagraph"/>
        <w:numPr>
          <w:ilvl w:val="0"/>
          <w:numId w:val="2"/>
        </w:numPr>
        <w:spacing w:after="40"/>
      </w:pPr>
      <w:r>
        <w:rPr>
          <w:rFonts w:ascii="Arial" w:cs="Arial" w:eastAsia="Arial" w:hAnsi="Arial"/>
          <w:b/>
          <w:bCs/>
          <w:color w:val="1A1A1A"/>
          <w:sz w:val="20"/>
          <w:szCs w:val="20"/>
        </w:rPr>
        <w:t xml:space="preserve">Confirmed date, time, and location of next master calendar hearing — must come from EOIR portal, court notice, or CMS; client estimate is not reliable</w:t>
      </w:r>
    </w:p>
    <w:p>
      <w:pPr>
        <w:pStyle w:val="ListParagraph"/>
        <w:numPr>
          <w:ilvl w:val="0"/>
          <w:numId w:val="2"/>
        </w:numPr>
        <w:spacing w:after="40"/>
      </w:pPr>
      <w:r>
        <w:rPr>
          <w:rFonts w:ascii="Arial" w:cs="Arial" w:eastAsia="Arial" w:hAnsi="Arial"/>
          <w:b w:val="false"/>
          <w:bCs w:val="false"/>
          <w:color w:val="1A1A1A"/>
          <w:sz w:val="20"/>
          <w:szCs w:val="20"/>
        </w:rPr>
        <w:t xml:space="preserve">Date of prior master calendar hearing — needed to understand procedural posture and what orders were entered</w:t>
      </w:r>
    </w:p>
    <w:p>
      <w:pPr>
        <w:pStyle w:val="ListParagraph"/>
        <w:numPr>
          <w:ilvl w:val="0"/>
          <w:numId w:val="2"/>
        </w:numPr>
        <w:spacing w:after="40"/>
      </w:pPr>
      <w:r>
        <w:rPr>
          <w:rFonts w:ascii="Arial" w:cs="Arial" w:eastAsia="Arial" w:hAnsi="Arial"/>
          <w:b w:val="false"/>
          <w:bCs w:val="false"/>
          <w:color w:val="1A1A1A"/>
          <w:sz w:val="20"/>
          <w:szCs w:val="20"/>
        </w:rPr>
        <w:t xml:space="preserve">Whether any orders were issued at the prior hearing (briefing schedule, filing deadlines, continuance conditions)</w:t>
      </w:r>
    </w:p>
    <w:p>
      <w:pPr>
        <w:spacing w:after="80"/>
      </w:pPr>
      <w:r>
        <w:t xml:space="preserve"/>
      </w:r>
    </w:p>
    <w:p>
      <w:pPr>
        <w:spacing w:after="60" w:before="160"/>
      </w:pPr>
      <w:r>
        <w:rPr>
          <w:rFonts w:ascii="Arial" w:cs="Arial" w:eastAsia="Arial" w:hAnsi="Arial"/>
          <w:b/>
          <w:bCs/>
          <w:color w:val="1A1A1A"/>
          <w:sz w:val="22"/>
          <w:szCs w:val="22"/>
          <w:u w:val="single"/>
        </w:rPr>
        <w:t xml:space="preserve">USCIS / EAD</w:t>
      </w:r>
    </w:p>
    <w:p>
      <w:pPr>
        <w:pStyle w:val="ListParagraph"/>
        <w:numPr>
          <w:ilvl w:val="0"/>
          <w:numId w:val="2"/>
        </w:numPr>
        <w:spacing w:after="40"/>
      </w:pPr>
      <w:r>
        <w:rPr>
          <w:rFonts w:ascii="Arial" w:cs="Arial" w:eastAsia="Arial" w:hAnsi="Arial"/>
          <w:b/>
          <w:bCs/>
          <w:color w:val="1A1A1A"/>
          <w:sz w:val="20"/>
          <w:szCs w:val="20"/>
        </w:rPr>
        <w:t xml:space="preserve">Full biometrics appointment notice — appointment date, location, and receipt number</w:t>
      </w:r>
    </w:p>
    <w:p>
      <w:pPr>
        <w:pStyle w:val="ListParagraph"/>
        <w:numPr>
          <w:ilvl w:val="0"/>
          <w:numId w:val="2"/>
        </w:numPr>
        <w:spacing w:after="40"/>
      </w:pPr>
      <w:r>
        <w:rPr>
          <w:rFonts w:ascii="Arial" w:cs="Arial" w:eastAsia="Arial" w:hAnsi="Arial"/>
          <w:b w:val="false"/>
          <w:bCs w:val="false"/>
          <w:color w:val="1A1A1A"/>
          <w:sz w:val="20"/>
          <w:szCs w:val="20"/>
        </w:rPr>
        <w:t xml:space="preserve">EAD application receipt number and current USCIS status</w:t>
      </w:r>
    </w:p>
    <w:p>
      <w:pPr>
        <w:pStyle w:val="ListParagraph"/>
        <w:numPr>
          <w:ilvl w:val="0"/>
          <w:numId w:val="2"/>
        </w:numPr>
        <w:spacing w:after="40"/>
      </w:pPr>
      <w:r>
        <w:rPr>
          <w:rFonts w:ascii="Arial" w:cs="Arial" w:eastAsia="Arial" w:hAnsi="Arial"/>
          <w:b w:val="false"/>
          <w:bCs w:val="false"/>
          <w:color w:val="1A1A1A"/>
          <w:sz w:val="20"/>
          <w:szCs w:val="20"/>
        </w:rPr>
        <w:t xml:space="preserve">Current EAD expiration date</w:t>
      </w:r>
    </w:p>
    <w:p>
      <w:pPr>
        <w:pStyle w:val="ListParagraph"/>
        <w:numPr>
          <w:ilvl w:val="0"/>
          <w:numId w:val="2"/>
        </w:numPr>
        <w:spacing w:after="40"/>
      </w:pPr>
      <w:r>
        <w:rPr>
          <w:rFonts w:ascii="Arial" w:cs="Arial" w:eastAsia="Arial" w:hAnsi="Arial"/>
          <w:b w:val="false"/>
          <w:bCs w:val="false"/>
          <w:color w:val="1A1A1A"/>
          <w:sz w:val="20"/>
          <w:szCs w:val="20"/>
        </w:rPr>
        <w:t xml:space="preserve">Whether biometrics appointment has already passed</w:t>
      </w:r>
    </w:p>
    <w:p>
      <w:pPr>
        <w:spacing w:after="80"/>
      </w:pPr>
      <w:r>
        <w:t xml:space="preserve"/>
      </w:r>
    </w:p>
    <w:p>
      <w:pPr>
        <w:spacing w:after="60" w:before="160"/>
      </w:pPr>
      <w:r>
        <w:rPr>
          <w:rFonts w:ascii="Arial" w:cs="Arial" w:eastAsia="Arial" w:hAnsi="Arial"/>
          <w:b/>
          <w:bCs/>
          <w:color w:val="1A1A1A"/>
          <w:sz w:val="22"/>
          <w:szCs w:val="22"/>
          <w:u w:val="single"/>
        </w:rPr>
        <w:t xml:space="preserve">Address and Service</w:t>
      </w:r>
    </w:p>
    <w:p>
      <w:pPr>
        <w:pStyle w:val="ListParagraph"/>
        <w:numPr>
          <w:ilvl w:val="0"/>
          <w:numId w:val="2"/>
        </w:numPr>
        <w:spacing w:after="40"/>
      </w:pPr>
      <w:r>
        <w:rPr>
          <w:rFonts w:ascii="Arial" w:cs="Arial" w:eastAsia="Arial" w:hAnsi="Arial"/>
          <w:b w:val="false"/>
          <w:bCs w:val="false"/>
          <w:color w:val="1A1A1A"/>
          <w:sz w:val="20"/>
          <w:szCs w:val="20"/>
        </w:rPr>
        <w:t xml:space="preserve">Client's prior address of record with EOIR</w:t>
      </w:r>
    </w:p>
    <w:p>
      <w:pPr>
        <w:pStyle w:val="ListParagraph"/>
        <w:numPr>
          <w:ilvl w:val="0"/>
          <w:numId w:val="2"/>
        </w:numPr>
        <w:spacing w:after="40"/>
      </w:pPr>
      <w:r>
        <w:rPr>
          <w:rFonts w:ascii="Arial" w:cs="Arial" w:eastAsia="Arial" w:hAnsi="Arial"/>
          <w:b w:val="false"/>
          <w:bCs w:val="false"/>
          <w:color w:val="1A1A1A"/>
          <w:sz w:val="20"/>
          <w:szCs w:val="20"/>
        </w:rPr>
        <w:t xml:space="preserve">Client's new address</w:t>
      </w:r>
    </w:p>
    <w:p>
      <w:pPr>
        <w:pStyle w:val="ListParagraph"/>
        <w:numPr>
          <w:ilvl w:val="0"/>
          <w:numId w:val="2"/>
        </w:numPr>
        <w:spacing w:after="40"/>
      </w:pPr>
      <w:r>
        <w:rPr>
          <w:rFonts w:ascii="Arial" w:cs="Arial" w:eastAsia="Arial" w:hAnsi="Arial"/>
          <w:b w:val="false"/>
          <w:bCs w:val="false"/>
          <w:color w:val="1A1A1A"/>
          <w:sz w:val="20"/>
          <w:szCs w:val="20"/>
        </w:rPr>
        <w:t xml:space="preserve">Whether EOIR-33 has been filed and confirmed receipt</w:t>
      </w:r>
    </w:p>
    <w:p>
      <w:pPr>
        <w:pStyle w:val="ListParagraph"/>
        <w:numPr>
          <w:ilvl w:val="0"/>
          <w:numId w:val="2"/>
        </w:numPr>
        <w:spacing w:after="40"/>
      </w:pPr>
      <w:r>
        <w:rPr>
          <w:rFonts w:ascii="Arial" w:cs="Arial" w:eastAsia="Arial" w:hAnsi="Arial"/>
          <w:b w:val="false"/>
          <w:bCs w:val="false"/>
          <w:color w:val="1A1A1A"/>
          <w:sz w:val="20"/>
          <w:szCs w:val="20"/>
        </w:rPr>
        <w:t xml:space="preserve">Whether court notices have been sent to the old address since the move</w:t>
      </w:r>
    </w:p>
    <w:p>
      <w:pPr>
        <w:spacing w:after="80"/>
      </w:pPr>
      <w:r>
        <w:t xml:space="preserve"/>
      </w:r>
    </w:p>
    <w:p>
      <w:pPr>
        <w:spacing w:after="60" w:before="160"/>
      </w:pPr>
      <w:r>
        <w:rPr>
          <w:rFonts w:ascii="Arial" w:cs="Arial" w:eastAsia="Arial" w:hAnsi="Arial"/>
          <w:b/>
          <w:bCs/>
          <w:color w:val="1A1A1A"/>
          <w:sz w:val="22"/>
          <w:szCs w:val="22"/>
          <w:u w:val="single"/>
        </w:rPr>
        <w:t xml:space="preserve">Prior Proceedings</w:t>
      </w:r>
    </w:p>
    <w:p>
      <w:pPr>
        <w:pStyle w:val="ListParagraph"/>
        <w:numPr>
          <w:ilvl w:val="0"/>
          <w:numId w:val="2"/>
        </w:numPr>
        <w:spacing w:after="40"/>
      </w:pPr>
      <w:r>
        <w:rPr>
          <w:rFonts w:ascii="Arial" w:cs="Arial" w:eastAsia="Arial" w:hAnsi="Arial"/>
          <w:b w:val="false"/>
          <w:bCs w:val="false"/>
          <w:color w:val="1A1A1A"/>
          <w:sz w:val="20"/>
          <w:szCs w:val="20"/>
        </w:rPr>
        <w:t xml:space="preserve">Whether client has any prior removal orders, voluntary departures, or prior immigration filings</w:t>
      </w:r>
    </w:p>
    <w:p>
      <w:pPr>
        <w:pStyle w:val="ListParagraph"/>
        <w:numPr>
          <w:ilvl w:val="0"/>
          <w:numId w:val="2"/>
        </w:numPr>
        <w:spacing w:after="40"/>
      </w:pPr>
      <w:r>
        <w:rPr>
          <w:rFonts w:ascii="Arial" w:cs="Arial" w:eastAsia="Arial" w:hAnsi="Arial"/>
          <w:b w:val="false"/>
          <w:bCs w:val="false"/>
          <w:color w:val="1A1A1A"/>
          <w:sz w:val="20"/>
          <w:szCs w:val="20"/>
        </w:rPr>
        <w:t xml:space="preserve">Whether any prior attorney was involved in this matter</w:t>
      </w:r>
    </w:p>
    <w:p>
      <w:pPr>
        <w:spacing w:after="80"/>
      </w:pPr>
      <w:r>
        <w:t xml:space="preserve"/>
      </w:r>
    </w:p>
    <w:p>
      <w:pPr>
        <w:pStyle w:val="Heading1"/>
        <w:spacing w:after="120" w:before="320"/>
      </w:pPr>
      <w:r>
        <w:rPr>
          <w:rFonts w:ascii="Arial" w:cs="Arial" w:eastAsia="Arial" w:hAnsi="Arial"/>
          <w:b/>
          <w:bCs/>
          <w:color w:val="1F3864"/>
          <w:sz w:val="28"/>
          <w:szCs w:val="28"/>
        </w:rPr>
        <w:t xml:space="preserve">5. Recommended Internal Follow-Up</w:t>
      </w:r>
    </w:p>
    <w:p>
      <w:pPr>
        <w:spacing w:after="60" w:before="160"/>
      </w:pPr>
      <w:r>
        <w:rPr>
          <w:rFonts w:ascii="Arial" w:cs="Arial" w:eastAsia="Arial" w:hAnsi="Arial"/>
          <w:b/>
          <w:bCs/>
          <w:color w:val="1A1A1A"/>
          <w:sz w:val="22"/>
          <w:szCs w:val="22"/>
          <w:u w:val="single"/>
        </w:rPr>
        <w:t xml:space="preserve">Immediate — Today</w:t>
      </w:r>
    </w:p>
    <w:p>
      <w:pPr>
        <w:pStyle w:val="ListParagraph"/>
        <w:numPr>
          <w:ilvl w:val="0"/>
          <w:numId w:val="2"/>
        </w:numPr>
        <w:spacing w:after="40"/>
      </w:pPr>
      <w:r>
        <w:rPr>
          <w:rFonts w:ascii="Arial" w:cs="Arial" w:eastAsia="Arial" w:hAnsi="Arial"/>
          <w:b/>
          <w:bCs/>
          <w:color w:val="1A1A1A"/>
          <w:sz w:val="20"/>
          <w:szCs w:val="20"/>
        </w:rPr>
        <w:t xml:space="preserve">Verify confirmed hearing date in EOIR portal or CMS — do not rely on client's estimate</w:t>
      </w:r>
    </w:p>
    <w:p>
      <w:pPr>
        <w:pStyle w:val="ListParagraph"/>
        <w:numPr>
          <w:ilvl w:val="0"/>
          <w:numId w:val="2"/>
        </w:numPr>
        <w:spacing w:after="40"/>
      </w:pPr>
      <w:r>
        <w:rPr>
          <w:rFonts w:ascii="Arial" w:cs="Arial" w:eastAsia="Arial" w:hAnsi="Arial"/>
          <w:b/>
          <w:bCs/>
          <w:color w:val="1A1A1A"/>
          <w:sz w:val="20"/>
          <w:szCs w:val="20"/>
        </w:rPr>
        <w:t xml:space="preserve">Escalate to attorney — one-year bar issue and hearing proximity both require attorney attention today</w:t>
      </w:r>
    </w:p>
    <w:p>
      <w:pPr>
        <w:pStyle w:val="ListParagraph"/>
        <w:numPr>
          <w:ilvl w:val="0"/>
          <w:numId w:val="2"/>
        </w:numPr>
        <w:spacing w:after="40"/>
      </w:pPr>
      <w:r>
        <w:rPr>
          <w:rFonts w:ascii="Arial" w:cs="Arial" w:eastAsia="Arial" w:hAnsi="Arial"/>
          <w:b/>
          <w:bCs/>
          <w:color w:val="1A1A1A"/>
          <w:sz w:val="20"/>
          <w:szCs w:val="20"/>
        </w:rPr>
        <w:t xml:space="preserve">Locate or recover the full biometrics notice — check USCIS online account; note if appointment date has passed</w:t>
      </w:r>
    </w:p>
    <w:p>
      <w:pPr>
        <w:pStyle w:val="ListParagraph"/>
        <w:numPr>
          <w:ilvl w:val="0"/>
          <w:numId w:val="2"/>
        </w:numPr>
        <w:spacing w:after="40"/>
      </w:pPr>
      <w:r>
        <w:rPr>
          <w:rFonts w:ascii="Arial" w:cs="Arial" w:eastAsia="Arial" w:hAnsi="Arial"/>
          <w:b/>
          <w:bCs/>
          <w:color w:val="1A1A1A"/>
          <w:sz w:val="20"/>
          <w:szCs w:val="20"/>
        </w:rPr>
        <w:t xml:space="preserve">Confirm client's current and prior addresses — prepare EOIR-33 if not already filed</w:t>
      </w:r>
    </w:p>
    <w:p>
      <w:pPr>
        <w:spacing w:after="80"/>
      </w:pPr>
      <w:r>
        <w:t xml:space="preserve"/>
      </w:r>
    </w:p>
    <w:p>
      <w:pPr>
        <w:spacing w:after="60" w:before="160"/>
      </w:pPr>
      <w:r>
        <w:rPr>
          <w:rFonts w:ascii="Arial" w:cs="Arial" w:eastAsia="Arial" w:hAnsi="Arial"/>
          <w:b/>
          <w:bCs/>
          <w:color w:val="1A1A1A"/>
          <w:sz w:val="22"/>
          <w:szCs w:val="22"/>
          <w:u w:val="single"/>
        </w:rPr>
        <w:t xml:space="preserve">Within 24-48 Hours</w:t>
      </w:r>
    </w:p>
    <w:p>
      <w:pPr>
        <w:pStyle w:val="ListParagraph"/>
        <w:numPr>
          <w:ilvl w:val="0"/>
          <w:numId w:val="2"/>
        </w:numPr>
        <w:spacing w:after="40"/>
      </w:pPr>
      <w:r>
        <w:rPr>
          <w:rFonts w:ascii="Arial" w:cs="Arial" w:eastAsia="Arial" w:hAnsi="Arial"/>
          <w:b w:val="false"/>
          <w:bCs w:val="false"/>
          <w:color w:val="1A1A1A"/>
          <w:sz w:val="20"/>
          <w:szCs w:val="20"/>
        </w:rPr>
        <w:t xml:space="preserve">File EOIR-33 with the immigration court to update address of record — confirm filing and retain proof</w:t>
      </w:r>
    </w:p>
    <w:p>
      <w:pPr>
        <w:pStyle w:val="ListParagraph"/>
        <w:numPr>
          <w:ilvl w:val="0"/>
          <w:numId w:val="2"/>
        </w:numPr>
        <w:spacing w:after="40"/>
      </w:pPr>
      <w:r>
        <w:rPr>
          <w:rFonts w:ascii="Arial" w:cs="Arial" w:eastAsia="Arial" w:hAnsi="Arial"/>
          <w:b w:val="false"/>
          <w:bCs w:val="false"/>
          <w:color w:val="1A1A1A"/>
          <w:sz w:val="20"/>
          <w:szCs w:val="20"/>
        </w:rPr>
        <w:t xml:space="preserve">Obtain asylum application receipt notice to confirm April 2024 filing date</w:t>
      </w:r>
    </w:p>
    <w:p>
      <w:pPr>
        <w:pStyle w:val="ListParagraph"/>
        <w:numPr>
          <w:ilvl w:val="0"/>
          <w:numId w:val="2"/>
        </w:numPr>
        <w:spacing w:after="40"/>
      </w:pPr>
      <w:r>
        <w:rPr>
          <w:rFonts w:ascii="Arial" w:cs="Arial" w:eastAsia="Arial" w:hAnsi="Arial"/>
          <w:b w:val="false"/>
          <w:bCs w:val="false"/>
          <w:color w:val="1A1A1A"/>
          <w:sz w:val="20"/>
          <w:szCs w:val="20"/>
        </w:rPr>
        <w:t xml:space="preserve">Obtain copy of NTA and confirm issue/service date</w:t>
      </w:r>
    </w:p>
    <w:p>
      <w:pPr>
        <w:pStyle w:val="ListParagraph"/>
        <w:numPr>
          <w:ilvl w:val="0"/>
          <w:numId w:val="2"/>
        </w:numPr>
        <w:spacing w:after="40"/>
      </w:pPr>
      <w:r>
        <w:rPr>
          <w:rFonts w:ascii="Arial" w:cs="Arial" w:eastAsia="Arial" w:hAnsi="Arial"/>
          <w:b w:val="false"/>
          <w:bCs w:val="false"/>
          <w:color w:val="1A1A1A"/>
          <w:sz w:val="20"/>
          <w:szCs w:val="20"/>
        </w:rPr>
        <w:t xml:space="preserve">Pull EOIR case records to confirm prior hearing date and any orders entered</w:t>
      </w:r>
    </w:p>
    <w:p>
      <w:pPr>
        <w:pStyle w:val="ListParagraph"/>
        <w:numPr>
          <w:ilvl w:val="0"/>
          <w:numId w:val="2"/>
        </w:numPr>
        <w:spacing w:after="40"/>
      </w:pPr>
      <w:r>
        <w:rPr>
          <w:rFonts w:ascii="Arial" w:cs="Arial" w:eastAsia="Arial" w:hAnsi="Arial"/>
          <w:b w:val="false"/>
          <w:bCs w:val="false"/>
          <w:color w:val="1A1A1A"/>
          <w:sz w:val="20"/>
          <w:szCs w:val="20"/>
        </w:rPr>
        <w:t xml:space="preserve">Confirm current EAD expiration date and USCIS case status for renewal</w:t>
      </w:r>
    </w:p>
    <w:p>
      <w:pPr>
        <w:spacing w:after="80"/>
      </w:pPr>
      <w:r>
        <w:t xml:space="preserve"/>
      </w:r>
    </w:p>
    <w:p>
      <w:pPr>
        <w:spacing w:after="60" w:before="160"/>
      </w:pPr>
      <w:r>
        <w:rPr>
          <w:rFonts w:ascii="Arial" w:cs="Arial" w:eastAsia="Arial" w:hAnsi="Arial"/>
          <w:b/>
          <w:bCs/>
          <w:color w:val="1A1A1A"/>
          <w:sz w:val="22"/>
          <w:szCs w:val="22"/>
          <w:u w:val="single"/>
        </w:rPr>
        <w:t xml:space="preserve">Before Next Hearing</w:t>
      </w:r>
    </w:p>
    <w:p>
      <w:pPr>
        <w:pStyle w:val="ListParagraph"/>
        <w:numPr>
          <w:ilvl w:val="0"/>
          <w:numId w:val="2"/>
        </w:numPr>
        <w:spacing w:after="40"/>
      </w:pPr>
      <w:r>
        <w:rPr>
          <w:rFonts w:ascii="Arial" w:cs="Arial" w:eastAsia="Arial" w:hAnsi="Arial"/>
          <w:b w:val="false"/>
          <w:bCs w:val="false"/>
          <w:color w:val="1A1A1A"/>
          <w:sz w:val="20"/>
          <w:szCs w:val="20"/>
        </w:rPr>
        <w:t xml:space="preserve">Attorney to analyze one-year bar and identify any applicable exceptions</w:t>
      </w:r>
    </w:p>
    <w:p>
      <w:pPr>
        <w:pStyle w:val="ListParagraph"/>
        <w:numPr>
          <w:ilvl w:val="0"/>
          <w:numId w:val="2"/>
        </w:numPr>
        <w:spacing w:after="40"/>
      </w:pPr>
      <w:r>
        <w:rPr>
          <w:rFonts w:ascii="Arial" w:cs="Arial" w:eastAsia="Arial" w:hAnsi="Arial"/>
          <w:b w:val="false"/>
          <w:bCs w:val="false"/>
          <w:color w:val="1A1A1A"/>
          <w:sz w:val="20"/>
          <w:szCs w:val="20"/>
        </w:rPr>
        <w:t xml:space="preserve">Attorney to determine what, if anything, is due at the next master calendar hearing</w:t>
      </w:r>
    </w:p>
    <w:p>
      <w:pPr>
        <w:pStyle w:val="ListParagraph"/>
        <w:numPr>
          <w:ilvl w:val="0"/>
          <w:numId w:val="2"/>
        </w:numPr>
        <w:spacing w:after="40"/>
      </w:pPr>
      <w:r>
        <w:rPr>
          <w:rFonts w:ascii="Arial" w:cs="Arial" w:eastAsia="Arial" w:hAnsi="Arial"/>
          <w:b w:val="false"/>
          <w:bCs w:val="false"/>
          <w:color w:val="1A1A1A"/>
          <w:sz w:val="20"/>
          <w:szCs w:val="20"/>
        </w:rPr>
        <w:t xml:space="preserve">Confirm whether client needs representation at the next hearing and whether firm is entering appearance</w:t>
      </w:r>
    </w:p>
    <w:p>
      <w:pPr>
        <w:pStyle w:val="ListParagraph"/>
        <w:numPr>
          <w:ilvl w:val="0"/>
          <w:numId w:val="2"/>
        </w:numPr>
        <w:spacing w:after="40"/>
      </w:pPr>
      <w:r>
        <w:rPr>
          <w:rFonts w:ascii="Arial" w:cs="Arial" w:eastAsia="Arial" w:hAnsi="Arial"/>
          <w:b w:val="false"/>
          <w:bCs w:val="false"/>
          <w:color w:val="1A1A1A"/>
          <w:sz w:val="20"/>
          <w:szCs w:val="20"/>
        </w:rPr>
        <w:t xml:space="preserve">Calendar internal prep deadline at least 10 business days before confirmed hearing date</w:t>
      </w:r>
    </w:p>
    <w:p>
      <w:pPr>
        <w:spacing w:after="80"/>
      </w:pPr>
      <w:r>
        <w:t xml:space="preserve"/>
      </w:r>
    </w:p>
    <w:p>
      <w:pPr>
        <w:pStyle w:val="Heading1"/>
        <w:spacing w:after="120" w:before="320"/>
      </w:pPr>
      <w:r>
        <w:rPr>
          <w:rFonts w:ascii="Arial" w:cs="Arial" w:eastAsia="Arial" w:hAnsi="Arial"/>
          <w:b/>
          <w:bCs/>
          <w:color w:val="1F3864"/>
          <w:sz w:val="28"/>
          <w:szCs w:val="28"/>
        </w:rPr>
        <w:t xml:space="preserve">6. Internal Attorney Notes</w:t>
      </w:r>
    </w:p>
    <w:p>
      <w:pPr>
        <w:spacing w:after="80"/>
      </w:pPr>
      <w:r>
        <w:rPr>
          <w:rFonts w:ascii="Arial" w:cs="Arial" w:eastAsia="Arial" w:hAnsi="Arial"/>
          <w:b/>
          <w:bCs/>
          <w:color w:val="1A1A1A"/>
          <w:sz w:val="20"/>
          <w:szCs w:val="20"/>
        </w:rPr>
        <w:t xml:space="preserve">Highest urgency issue: </w:t>
      </w:r>
      <w:r>
        <w:rPr>
          <w:rFonts w:ascii="Arial" w:cs="Arial" w:eastAsia="Arial" w:hAnsi="Arial"/>
          <w:color w:val="1A1A1A"/>
          <w:sz w:val="20"/>
          <w:szCs w:val="20"/>
        </w:rPr>
        <w:t xml:space="preserve">Two issues tie and both need attorney attention today: (1) the one-year bar — entry March 2023, filing April 2024, almost certainly one month late; and (2) the address change — if the court has been sending notices to the old address, there is real risk of an in absentia order. EOIR-33 needs to go out today.</w:t>
      </w:r>
    </w:p>
    <w:p>
      <w:pPr>
        <w:spacing w:after="80"/>
      </w:pPr>
      <w:r>
        <w:rPr>
          <w:rFonts w:ascii="Arial" w:cs="Arial" w:eastAsia="Arial" w:hAnsi="Arial"/>
          <w:b/>
          <w:bCs/>
          <w:color w:val="1A1A1A"/>
          <w:sz w:val="20"/>
          <w:szCs w:val="20"/>
        </w:rPr>
        <w:t xml:space="preserve">Biggest procedural uncertainty: </w:t>
      </w:r>
      <w:r>
        <w:rPr>
          <w:rFonts w:ascii="Arial" w:cs="Arial" w:eastAsia="Arial" w:hAnsi="Arial"/>
          <w:color w:val="1A1A1A"/>
          <w:sz w:val="20"/>
          <w:szCs w:val="20"/>
        </w:rPr>
        <w:t xml:space="preserve">Whether the next hearing is actually 25 days away, sooner, or later. Everything else — preparation, filing, representation — depends on the confirmed date. Pull it now from EOIR.</w:t>
      </w:r>
    </w:p>
    <w:p>
      <w:pPr>
        <w:spacing w:after="80"/>
      </w:pPr>
      <w:r>
        <w:rPr>
          <w:rFonts w:ascii="Arial" w:cs="Arial" w:eastAsia="Arial" w:hAnsi="Arial"/>
          <w:b/>
          <w:bCs/>
          <w:color w:val="1A1A1A"/>
          <w:sz w:val="20"/>
          <w:szCs w:val="20"/>
        </w:rPr>
        <w:t xml:space="preserve">Whether escalation is recommended: </w:t>
      </w:r>
      <w:r>
        <w:rPr>
          <w:rFonts w:ascii="Arial" w:cs="Arial" w:eastAsia="Arial" w:hAnsi="Arial"/>
          <w:color w:val="1A1A1A"/>
          <w:sz w:val="20"/>
          <w:szCs w:val="20"/>
        </w:rPr>
        <w:t xml:space="preserve">Yes — immediately. The one-year bar issue, the unconfirmed hearing date, and the address update are each individually significant. Together they constitute an elevated-risk matter.</w:t>
      </w:r>
    </w:p>
    <w:p>
      <w:pPr>
        <w:spacing w:after="80"/>
      </w:pPr>
      <w:r>
        <w:rPr>
          <w:rFonts w:ascii="Arial" w:cs="Arial" w:eastAsia="Arial" w:hAnsi="Arial"/>
          <w:b/>
          <w:bCs/>
          <w:color w:val="1A1A1A"/>
          <w:sz w:val="20"/>
          <w:szCs w:val="20"/>
        </w:rPr>
        <w:t xml:space="preserve">Whether attorney review should happen immediately: </w:t>
      </w:r>
      <w:r>
        <w:rPr>
          <w:rFonts w:ascii="Arial" w:cs="Arial" w:eastAsia="Arial" w:hAnsi="Arial"/>
          <w:color w:val="1A1A1A"/>
          <w:sz w:val="20"/>
          <w:szCs w:val="20"/>
        </w:rPr>
        <w:t xml:space="preserve">Yes. This matter should not proceed without attorney involvement before the next hearing.</w:t>
      </w:r>
    </w:p>
    <w:p>
      <w:pPr>
        <w:spacing w:after="80"/>
      </w:pPr>
      <w:r>
        <w:rPr>
          <w:rFonts w:ascii="Arial" w:cs="Arial" w:eastAsia="Arial" w:hAnsi="Arial"/>
          <w:b/>
          <w:bCs/>
          <w:color w:val="1A1A1A"/>
          <w:sz w:val="20"/>
          <w:szCs w:val="20"/>
        </w:rPr>
        <w:t xml:space="preserve">Whether humanitarian risk appears elevated: </w:t>
      </w:r>
      <w:r>
        <w:rPr>
          <w:rFonts w:ascii="Arial" w:cs="Arial" w:eastAsia="Arial" w:hAnsi="Arial"/>
          <w:color w:val="1A1A1A"/>
          <w:sz w:val="20"/>
          <w:szCs w:val="20"/>
        </w:rPr>
        <w:t xml:space="preserve">Yes. Client is a 32-year-old woman in removal proceedings with a potentially time-barred asylum application, an unresolved biometrics issue, and an unupdated address of record. If any of these go unaddressed, the risk of an adverse outcome — including removal — increases materially.</w:t>
      </w:r>
    </w:p>
    <w:p>
      <w:pPr>
        <w:spacing w:after="80"/>
      </w:pPr>
      <w:r>
        <w:t xml:space="preserve"/>
      </w:r>
    </w:p>
    <w:p>
      <w:pPr>
        <w:pStyle w:val="Heading1"/>
        <w:spacing w:after="120" w:before="320"/>
      </w:pPr>
      <w:r>
        <w:rPr>
          <w:rFonts w:ascii="Arial" w:cs="Arial" w:eastAsia="Arial" w:hAnsi="Arial"/>
          <w:b/>
          <w:bCs/>
          <w:color w:val="1F3864"/>
          <w:sz w:val="28"/>
          <w:szCs w:val="28"/>
        </w:rPr>
        <w:t xml:space="preserve">7. Suggested Next Workflows</w:t>
      </w:r>
    </w:p>
    <w:p>
      <w:pPr>
        <w:pStyle w:val="ListParagraph"/>
        <w:numPr>
          <w:ilvl w:val="0"/>
          <w:numId w:val="2"/>
        </w:numPr>
        <w:spacing w:after="40"/>
      </w:pPr>
      <w:r>
        <w:rPr>
          <w:rFonts w:ascii="Arial" w:cs="Arial" w:eastAsia="Arial" w:hAnsi="Arial"/>
          <w:b/>
          <w:bCs/>
          <w:color w:val="1A1A1A"/>
          <w:sz w:val="20"/>
          <w:szCs w:val="20"/>
        </w:rPr>
        <w:t xml:space="preserve">Attorney consultation — required immediately; one-year bar analysis and hearing preparation cannot proceed without attorney direction</w:t>
      </w:r>
    </w:p>
    <w:p>
      <w:pPr>
        <w:pStyle w:val="ListParagraph"/>
        <w:numPr>
          <w:ilvl w:val="0"/>
          <w:numId w:val="2"/>
        </w:numPr>
        <w:spacing w:after="40"/>
      </w:pPr>
      <w:r>
        <w:rPr>
          <w:rFonts w:ascii="Arial" w:cs="Arial" w:eastAsia="Arial" w:hAnsi="Arial"/>
          <w:b w:val="false"/>
          <w:bCs w:val="false"/>
          <w:color w:val="1A1A1A"/>
          <w:sz w:val="20"/>
          <w:szCs w:val="20"/>
        </w:rPr>
        <w:t xml:space="preserve">Hearing preparation workflow — once hearing date is confirmed, prepare client for the master calendar appearance</w:t>
      </w:r>
    </w:p>
    <w:p>
      <w:pPr>
        <w:pStyle w:val="ListParagraph"/>
        <w:numPr>
          <w:ilvl w:val="0"/>
          <w:numId w:val="2"/>
        </w:numPr>
        <w:spacing w:after="40"/>
      </w:pPr>
      <w:r>
        <w:rPr>
          <w:rFonts w:ascii="Arial" w:cs="Arial" w:eastAsia="Arial" w:hAnsi="Arial"/>
          <w:b w:val="false"/>
          <w:bCs w:val="false"/>
          <w:color w:val="1A1A1A"/>
          <w:sz w:val="20"/>
          <w:szCs w:val="20"/>
        </w:rPr>
        <w:t xml:space="preserve">Declaration interview — if the asylum application is going forward, schedule a trauma-informed declaration interview</w:t>
      </w:r>
    </w:p>
    <w:p>
      <w:pPr>
        <w:pStyle w:val="ListParagraph"/>
        <w:numPr>
          <w:ilvl w:val="0"/>
          <w:numId w:val="2"/>
        </w:numPr>
        <w:spacing w:after="40"/>
      </w:pPr>
      <w:r>
        <w:rPr>
          <w:rFonts w:ascii="Arial" w:cs="Arial" w:eastAsia="Arial" w:hAnsi="Arial"/>
          <w:b w:val="false"/>
          <w:bCs w:val="false"/>
          <w:color w:val="1A1A1A"/>
          <w:sz w:val="20"/>
          <w:szCs w:val="20"/>
        </w:rPr>
        <w:t xml:space="preserve">Document-request-checklist — gather evidence for one-year bar exception (changed or extraordinary circumstances) in addition to the underlying claim</w:t>
      </w:r>
    </w:p>
    <w:p>
      <w:pPr>
        <w:pStyle w:val="ListParagraph"/>
        <w:numPr>
          <w:ilvl w:val="0"/>
          <w:numId w:val="2"/>
        </w:numPr>
        <w:spacing w:after="40"/>
      </w:pPr>
      <w:r>
        <w:rPr>
          <w:rFonts w:ascii="Arial" w:cs="Arial" w:eastAsia="Arial" w:hAnsi="Arial"/>
          <w:b w:val="false"/>
          <w:bCs w:val="false"/>
          <w:color w:val="1A1A1A"/>
          <w:sz w:val="20"/>
          <w:szCs w:val="20"/>
        </w:rPr>
        <w:t xml:space="preserve">Draft-rfe-response — if a deficiency notice or evidence request is received in connection with the EAD renewal or asylum application</w:t>
      </w:r>
    </w:p>
    <w:p>
      <w:pPr>
        <w:spacing w:after="80"/>
      </w:pPr>
      <w:r>
        <w:t xml:space="preserve"/>
      </w:r>
    </w:p>
    <w:p>
      <w:pPr>
        <w:pBdr>
          <w:bottom w:val="single" w:color="CCCCCC" w:sz="4" w:space="1"/>
        </w:pBdr>
        <w:spacing w:after="120"/>
      </w:pPr>
      <w:r>
        <w:t xml:space="preserve"/>
      </w:r>
    </w:p>
    <w:p>
      <w:pPr>
        <w:spacing w:after="0"/>
      </w:pPr>
      <w:r>
        <w:rPr>
          <w:rFonts w:ascii="Arial" w:cs="Arial" w:eastAsia="Arial" w:hAnsi="Arial"/>
          <w:b/>
          <w:bCs/>
          <w:i/>
          <w:iCs/>
          <w:color w:val="595959"/>
          <w:sz w:val="18"/>
          <w:szCs w:val="18"/>
        </w:rPr>
        <w:t xml:space="preserve">Attorney review and independent deadline verification required before relying on this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i/>
        <w:iCs/>
        <w:color w:val="595959"/>
        <w:sz w:val="16"/>
        <w:szCs w:val="16"/>
      </w:rPr>
      <w:t xml:space="preserve">Attorney review and independent deadline verification required before relying on this review.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8"/>
        <w:szCs w:val="18"/>
      </w:rPr>
      <w:t xml:space="preserve">IMMIGRATION DEADLINE REVIEW</w:t>
    </w:r>
    <w:r>
      <w:rPr>
        <w:rFonts w:ascii="Arial" w:cs="Arial" w:eastAsia="Arial" w:hAnsi="Arial"/>
        <w:color w:val="595959"/>
        <w:sz w:val="18"/>
        <w:szCs w:val="18"/>
      </w:rPr>
      <w:t xml:space="preserve">   |   ATTORNEY REVIEW DRAFT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2026-05-22T02:45:19.812Z</dcterms:created>
  <dcterms:modified xsi:type="dcterms:W3CDTF">2026-05-22T02:45:19.815Z</dcterms:modified>
</cp:coreProperties>
</file>

<file path=docProps/custom.xml><?xml version="1.0" encoding="utf-8"?>
<Properties xmlns="http://schemas.openxmlformats.org/officeDocument/2006/custom-properties" xmlns:vt="http://schemas.openxmlformats.org/officeDocument/2006/docPropsVTypes"/>
</file>