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Humanitarian Intake Summary</w:t>
      </w:r>
    </w:p>
    <w:p>
      <w:pPr>
        <w:spacing w:after="60"/>
      </w:pPr>
      <w:r>
        <w:rPr>
          <w:rFonts w:ascii="Arial" w:cs="Arial" w:eastAsia="Arial" w:hAnsi="Arial"/>
          <w:i/>
          <w:iCs/>
          <w:color w:val="595959"/>
          <w:sz w:val="24"/>
          <w:szCs w:val="24"/>
        </w:rPr>
        <w:t xml:space="preserve">Venezuela — Political Persecution Claim</w:t>
      </w:r>
    </w:p>
    <w:p>
      <w:pPr>
        <w:spacing w:after="240"/>
      </w:pPr>
      <w:r>
        <w:rPr>
          <w:rFonts w:ascii="Arial" w:cs="Arial" w:eastAsia="Arial" w:hAnsi="Arial"/>
          <w:color w:val="595959"/>
          <w:sz w:val="18"/>
          <w:szCs w:val="18"/>
        </w:rPr>
        <w:t xml:space="preserve">Prepared: May 21, 2026   |   Status: Pending Attorney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7B4F00"/>
                <w:sz w:val="20"/>
                <w:szCs w:val="20"/>
              </w:rPr>
              <w:t xml:space="preserve">⚠ ATTORNEY REVIEW REQUIRED. </w:t>
            </w:r>
            <w:r>
              <w:rPr>
                <w:rFonts w:ascii="Arial" w:cs="Arial" w:eastAsia="Arial" w:hAnsi="Arial"/>
                <w:color w:val="7B4F00"/>
                <w:sz w:val="20"/>
                <w:szCs w:val="20"/>
              </w:rPr>
              <w:t xml:space="preserve">This summary is for internal use only. Do not share legal conclusions with the client before attorney review.</w:t>
            </w:r>
          </w:p>
        </w:tc>
      </w:tr>
    </w:tbl>
    <w:p>
      <w:pPr>
        <w:spacing w:after="80"/>
      </w:pPr>
      <w:r>
        <w:t xml:space="preserve"/>
      </w:r>
    </w:p>
    <w:p>
      <w:pPr>
        <w:pBdr>
          <w:bottom w:val="single" w:color="CCCCCC" w:sz="4" w:space="1"/>
        </w:pBdr>
        <w:spacing w:after="120"/>
      </w:pPr>
      <w:r>
        <w:t xml:space="preserve"/>
      </w:r>
    </w:p>
    <w:p>
      <w:pPr>
        <w:pStyle w:val="Heading1"/>
        <w:spacing w:after="120" w:before="320"/>
      </w:pPr>
      <w:r>
        <w:rPr>
          <w:rFonts w:ascii="Arial" w:cs="Arial" w:eastAsia="Arial" w:hAnsi="Arial"/>
          <w:b/>
          <w:bCs/>
          <w:color w:val="1F3864"/>
          <w:sz w:val="28"/>
          <w:szCs w:val="28"/>
        </w:rPr>
        <w:t xml:space="preserve">1. Likely Matter Type</w:t>
      </w:r>
    </w:p>
    <w:p>
      <w:pPr>
        <w:spacing w:after="60"/>
      </w:pPr>
      <w:r>
        <w:rPr>
          <w:rFonts w:ascii="Arial" w:cs="Arial" w:eastAsia="Arial" w:hAnsi="Arial"/>
          <w:b/>
          <w:bCs/>
          <w:color w:val="1A1A1A"/>
          <w:sz w:val="20"/>
          <w:szCs w:val="20"/>
        </w:rPr>
        <w:t xml:space="preserve">Affirmative asylum — primary pathway based on available facts.</w:t>
      </w:r>
    </w:p>
    <w:p>
      <w:pPr>
        <w:spacing w:after="60"/>
      </w:pPr>
      <w:r>
        <w:rPr>
          <w:rFonts w:ascii="Arial" w:cs="Arial" w:eastAsia="Arial" w:hAnsi="Arial"/>
          <w:color w:val="1A1A1A"/>
          <w:sz w:val="20"/>
          <w:szCs w:val="20"/>
        </w:rPr>
        <w:t xml:space="preserve">Defensive asylum and withholding of removal should also be evaluated given the pending NTA and upcoming master hearing. CAT protection may be a secondary option depending on nexus and the nature of threats. Matter type should be confirmed by attorney after review of NTA and immigration history.</w:t>
      </w:r>
    </w:p>
    <w:p>
      <w:pPr>
        <w:spacing w:after="80"/>
      </w:pPr>
      <w:r>
        <w:t xml:space="preserve"/>
      </w:r>
    </w:p>
    <w:p>
      <w:pPr>
        <w:pStyle w:val="Heading1"/>
        <w:spacing w:after="120" w:before="320"/>
      </w:pPr>
      <w:r>
        <w:rPr>
          <w:rFonts w:ascii="Arial" w:cs="Arial" w:eastAsia="Arial" w:hAnsi="Arial"/>
          <w:b/>
          <w:bCs/>
          <w:color w:val="1F3864"/>
          <w:sz w:val="28"/>
          <w:szCs w:val="28"/>
        </w:rPr>
        <w:t xml:space="preserve">2. Parties</w:t>
      </w:r>
    </w:p>
    <w:p>
      <w:pPr>
        <w:spacing w:after="60"/>
      </w:pPr>
      <w:r>
        <w:rPr>
          <w:rFonts w:ascii="Arial" w:cs="Arial" w:eastAsia="Arial" w:hAnsi="Arial"/>
          <w:b/>
          <w:bCs/>
          <w:color w:val="1A1A1A"/>
          <w:sz w:val="20"/>
          <w:szCs w:val="20"/>
        </w:rPr>
        <w:t xml:space="preserve">Client name: </w:t>
      </w:r>
      <w:r>
        <w:rPr>
          <w:rFonts w:ascii="Arial" w:cs="Arial" w:eastAsia="Arial" w:hAnsi="Arial"/>
          <w:color w:val="1A1A1A"/>
          <w:sz w:val="20"/>
          <w:szCs w:val="20"/>
        </w:rPr>
        <w:t xml:space="preserve">Not provided in intake narrative</w:t>
      </w:r>
    </w:p>
    <w:p>
      <w:pPr>
        <w:spacing w:after="60"/>
      </w:pPr>
      <w:r>
        <w:rPr>
          <w:rFonts w:ascii="Arial" w:cs="Arial" w:eastAsia="Arial" w:hAnsi="Arial"/>
          <w:b/>
          <w:bCs/>
          <w:color w:val="1A1A1A"/>
          <w:sz w:val="20"/>
          <w:szCs w:val="20"/>
        </w:rPr>
        <w:t xml:space="preserve">Country of origin: </w:t>
      </w:r>
      <w:r>
        <w:rPr>
          <w:rFonts w:ascii="Arial" w:cs="Arial" w:eastAsia="Arial" w:hAnsi="Arial"/>
          <w:color w:val="1A1A1A"/>
          <w:sz w:val="20"/>
          <w:szCs w:val="20"/>
        </w:rPr>
        <w:t xml:space="preserve">Venezuela</w:t>
      </w:r>
    </w:p>
    <w:p>
      <w:pPr>
        <w:spacing w:after="60"/>
      </w:pPr>
      <w:r>
        <w:rPr>
          <w:rFonts w:ascii="Arial" w:cs="Arial" w:eastAsia="Arial" w:hAnsi="Arial"/>
          <w:b/>
          <w:bCs/>
          <w:color w:val="1A1A1A"/>
          <w:sz w:val="20"/>
          <w:szCs w:val="20"/>
        </w:rPr>
        <w:t xml:space="preserve">Current location: </w:t>
      </w:r>
      <w:r>
        <w:rPr>
          <w:rFonts w:ascii="Arial" w:cs="Arial" w:eastAsia="Arial" w:hAnsi="Arial"/>
          <w:color w:val="1A1A1A"/>
          <w:sz w:val="20"/>
          <w:szCs w:val="20"/>
        </w:rPr>
        <w:t xml:space="preserve">Florida (living with relatives)</w:t>
      </w:r>
    </w:p>
    <w:p>
      <w:pPr>
        <w:spacing w:after="60"/>
      </w:pPr>
      <w:r>
        <w:rPr>
          <w:rFonts w:ascii="Arial" w:cs="Arial" w:eastAsia="Arial" w:hAnsi="Arial"/>
          <w:b/>
          <w:bCs/>
          <w:color w:val="1A1A1A"/>
          <w:sz w:val="20"/>
          <w:szCs w:val="20"/>
        </w:rPr>
        <w:t xml:space="preserve">Current immigration status: </w:t>
      </w:r>
      <w:r>
        <w:rPr>
          <w:rFonts w:ascii="Arial" w:cs="Arial" w:eastAsia="Arial" w:hAnsi="Arial"/>
          <w:color w:val="1A1A1A"/>
          <w:sz w:val="20"/>
          <w:szCs w:val="20"/>
        </w:rPr>
        <w:t xml:space="preserve">Unknown — NTA issued; master hearing pending (~45 days)</w:t>
      </w:r>
    </w:p>
    <w:p>
      <w:pPr>
        <w:spacing w:after="60"/>
      </w:pPr>
      <w:r>
        <w:rPr>
          <w:rFonts w:ascii="Arial" w:cs="Arial" w:eastAsia="Arial" w:hAnsi="Arial"/>
          <w:b/>
          <w:bCs/>
          <w:color w:val="1A1A1A"/>
          <w:sz w:val="20"/>
          <w:szCs w:val="20"/>
        </w:rPr>
        <w:t xml:space="preserve">Custody/detention status: </w:t>
      </w:r>
      <w:r>
        <w:rPr>
          <w:rFonts w:ascii="Arial" w:cs="Arial" w:eastAsia="Arial" w:hAnsi="Arial"/>
          <w:color w:val="1A1A1A"/>
          <w:sz w:val="20"/>
          <w:szCs w:val="20"/>
        </w:rPr>
        <w:t xml:space="preserve">Not detained; appears released pending hearing</w:t>
      </w:r>
    </w:p>
    <w:p>
      <w:pPr>
        <w:spacing w:after="60"/>
      </w:pPr>
      <w:r>
        <w:rPr>
          <w:rFonts w:ascii="Arial" w:cs="Arial" w:eastAsia="Arial" w:hAnsi="Arial"/>
          <w:b/>
          <w:bCs/>
          <w:color w:val="1A1A1A"/>
          <w:sz w:val="20"/>
          <w:szCs w:val="20"/>
        </w:rPr>
        <w:t xml:space="preserve">Family members involved: </w:t>
      </w:r>
      <w:r>
        <w:rPr>
          <w:rFonts w:ascii="Arial" w:cs="Arial" w:eastAsia="Arial" w:hAnsi="Arial"/>
          <w:color w:val="1A1A1A"/>
          <w:sz w:val="20"/>
          <w:szCs w:val="20"/>
        </w:rPr>
        <w:t xml:space="preserve">8-year-old son (accompanied client to U.S.; immigration status unknown)</w:t>
      </w:r>
    </w:p>
    <w:p>
      <w:pPr>
        <w:spacing w:after="60"/>
      </w:pPr>
      <w:r>
        <w:rPr>
          <w:rFonts w:ascii="Arial" w:cs="Arial" w:eastAsia="Arial" w:hAnsi="Arial"/>
          <w:b/>
          <w:bCs/>
          <w:color w:val="1A1A1A"/>
          <w:sz w:val="20"/>
          <w:szCs w:val="20"/>
        </w:rPr>
        <w:t xml:space="preserve">Interpreter needs: </w:t>
      </w:r>
      <w:r>
        <w:rPr>
          <w:rFonts w:ascii="Arial" w:cs="Arial" w:eastAsia="Arial" w:hAnsi="Arial"/>
          <w:color w:val="1A1A1A"/>
          <w:sz w:val="20"/>
          <w:szCs w:val="20"/>
        </w:rPr>
        <w:t xml:space="preserve">Not mentioned — Venezuelan Spanish likely needed; confirm</w:t>
      </w:r>
    </w:p>
    <w:p>
      <w:pPr>
        <w:spacing w:after="80"/>
      </w:pPr>
      <w:r>
        <w:t xml:space="preserve"/>
      </w:r>
    </w:p>
    <w:p>
      <w:pPr>
        <w:pStyle w:val="Heading1"/>
        <w:spacing w:after="120" w:before="320"/>
      </w:pPr>
      <w:r>
        <w:rPr>
          <w:rFonts w:ascii="Arial" w:cs="Arial" w:eastAsia="Arial" w:hAnsi="Arial"/>
          <w:b/>
          <w:bCs/>
          <w:color w:val="1F3864"/>
          <w:sz w:val="28"/>
          <w:szCs w:val="28"/>
        </w:rPr>
        <w:t xml:space="preserve">3. Core Narrative Summary</w:t>
      </w:r>
    </w:p>
    <w:p>
      <w:pPr>
        <w:pStyle w:val="Heading2"/>
        <w:spacing w:after="80" w:before="200"/>
      </w:pPr>
      <w:r>
        <w:rPr>
          <w:rFonts w:ascii="Arial" w:cs="Arial" w:eastAsia="Arial" w:hAnsi="Arial"/>
          <w:b/>
          <w:bCs/>
          <w:color w:val="1F3864"/>
          <w:sz w:val="24"/>
          <w:szCs w:val="24"/>
        </w:rPr>
        <w:t xml:space="preserve">Background</w:t>
      </w:r>
    </w:p>
    <w:p>
      <w:pPr>
        <w:pStyle w:val="ListParagraph"/>
        <w:numPr>
          <w:ilvl w:val="0"/>
          <w:numId w:val="2"/>
        </w:numPr>
        <w:spacing w:after="40"/>
      </w:pPr>
      <w:r>
        <w:rPr>
          <w:rFonts w:ascii="Arial" w:cs="Arial" w:eastAsia="Arial" w:hAnsi="Arial"/>
          <w:b w:val="false"/>
          <w:bCs w:val="false"/>
          <w:color w:val="1A1A1A"/>
          <w:sz w:val="20"/>
          <w:szCs w:val="20"/>
        </w:rPr>
        <w:t xml:space="preserve">Client is a 29-year-old woman from Venezuela</w:t>
      </w:r>
    </w:p>
    <w:p>
      <w:pPr>
        <w:pStyle w:val="ListParagraph"/>
        <w:numPr>
          <w:ilvl w:val="0"/>
          <w:numId w:val="2"/>
        </w:numPr>
        <w:spacing w:after="40"/>
      </w:pPr>
      <w:r>
        <w:rPr>
          <w:rFonts w:ascii="Arial" w:cs="Arial" w:eastAsia="Arial" w:hAnsi="Arial"/>
          <w:b w:val="false"/>
          <w:bCs w:val="false"/>
          <w:color w:val="1A1A1A"/>
          <w:sz w:val="20"/>
          <w:szCs w:val="20"/>
        </w:rPr>
        <w:t xml:space="preserve">Participated in anti-government demonstrations</w:t>
      </w:r>
    </w:p>
    <w:p>
      <w:pPr>
        <w:pStyle w:val="ListParagraph"/>
        <w:numPr>
          <w:ilvl w:val="0"/>
          <w:numId w:val="2"/>
        </w:numPr>
        <w:spacing w:after="40"/>
      </w:pPr>
      <w:r>
        <w:rPr>
          <w:rFonts w:ascii="Arial" w:cs="Arial" w:eastAsia="Arial" w:hAnsi="Arial"/>
          <w:b w:val="false"/>
          <w:bCs w:val="false"/>
          <w:color w:val="1A1A1A"/>
          <w:sz w:val="20"/>
          <w:szCs w:val="20"/>
        </w:rPr>
        <w:t xml:space="preserve">Targeted by a political group connected to local officials following her participation</w:t>
      </w:r>
    </w:p>
    <w:p>
      <w:pPr>
        <w:spacing w:after="80"/>
      </w:pPr>
      <w:r>
        <w:t xml:space="preserve"/>
      </w:r>
    </w:p>
    <w:p>
      <w:pPr>
        <w:pStyle w:val="Heading2"/>
        <w:spacing w:after="80" w:before="200"/>
      </w:pPr>
      <w:r>
        <w:rPr>
          <w:rFonts w:ascii="Arial" w:cs="Arial" w:eastAsia="Arial" w:hAnsi="Arial"/>
          <w:b/>
          <w:bCs/>
          <w:color w:val="1F3864"/>
          <w:sz w:val="24"/>
          <w:szCs w:val="24"/>
        </w:rPr>
        <w:t xml:space="preserve">Harm or Threats Described</w:t>
      </w:r>
    </w:p>
    <w:p>
      <w:pPr>
        <w:pStyle w:val="ListParagraph"/>
        <w:numPr>
          <w:ilvl w:val="0"/>
          <w:numId w:val="2"/>
        </w:numPr>
        <w:spacing w:after="40"/>
      </w:pPr>
      <w:r>
        <w:rPr>
          <w:rFonts w:ascii="Arial" w:cs="Arial" w:eastAsia="Arial" w:hAnsi="Arial"/>
          <w:b w:val="false"/>
          <w:bCs w:val="false"/>
          <w:color w:val="1A1A1A"/>
          <w:sz w:val="20"/>
          <w:szCs w:val="20"/>
        </w:rPr>
        <w:t xml:space="preserve">Multiple threats following demonstration participation</w:t>
      </w:r>
    </w:p>
    <w:p>
      <w:pPr>
        <w:pStyle w:val="ListParagraph"/>
        <w:numPr>
          <w:ilvl w:val="0"/>
          <w:numId w:val="2"/>
        </w:numPr>
        <w:spacing w:after="40"/>
      </w:pPr>
      <w:r>
        <w:rPr>
          <w:rFonts w:ascii="Arial" w:cs="Arial" w:eastAsia="Arial" w:hAnsi="Arial"/>
          <w:b w:val="false"/>
          <w:bCs w:val="false"/>
          <w:color w:val="1A1A1A"/>
          <w:sz w:val="20"/>
          <w:szCs w:val="20"/>
        </w:rPr>
        <w:t xml:space="preserve">Armed men came to her workplace and asked for her by name (at least one incident)</w:t>
      </w:r>
    </w:p>
    <w:p>
      <w:pPr>
        <w:pStyle w:val="ListParagraph"/>
        <w:numPr>
          <w:ilvl w:val="0"/>
          <w:numId w:val="2"/>
        </w:numPr>
        <w:spacing w:after="40"/>
      </w:pPr>
      <w:r>
        <w:rPr>
          <w:rFonts w:ascii="Arial" w:cs="Arial" w:eastAsia="Arial" w:hAnsi="Arial"/>
          <w:b w:val="false"/>
          <w:bCs w:val="false"/>
          <w:color w:val="1A1A1A"/>
          <w:sz w:val="20"/>
          <w:szCs w:val="20"/>
        </w:rPr>
        <w:t xml:space="preserve">Threats received via WhatsApp (screenshots reportedly available)</w:t>
      </w:r>
    </w:p>
    <w:p>
      <w:pPr>
        <w:pStyle w:val="ListParagraph"/>
        <w:numPr>
          <w:ilvl w:val="0"/>
          <w:numId w:val="2"/>
        </w:numPr>
        <w:spacing w:after="40"/>
      </w:pPr>
      <w:r>
        <w:rPr>
          <w:rFonts w:ascii="Arial" w:cs="Arial" w:eastAsia="Arial" w:hAnsi="Arial"/>
          <w:b w:val="false"/>
          <w:bCs w:val="false"/>
          <w:color w:val="1A1A1A"/>
          <w:sz w:val="20"/>
          <w:szCs w:val="20"/>
        </w:rPr>
        <w:t xml:space="preserve">No physical assault or detention reported — confirm with attorney</w:t>
      </w:r>
    </w:p>
    <w:p>
      <w:pPr>
        <w:spacing w:after="80"/>
      </w:pPr>
      <w:r>
        <w:t xml:space="preserve"/>
      </w:r>
    </w:p>
    <w:p>
      <w:pPr>
        <w:pStyle w:val="Heading2"/>
        <w:spacing w:after="80" w:before="200"/>
      </w:pPr>
      <w:r>
        <w:rPr>
          <w:rFonts w:ascii="Arial" w:cs="Arial" w:eastAsia="Arial" w:hAnsi="Arial"/>
          <w:b/>
          <w:bCs/>
          <w:color w:val="1F3864"/>
          <w:sz w:val="24"/>
          <w:szCs w:val="24"/>
        </w:rPr>
        <w:t xml:space="preserve">Government Involvement or Failure to Protect</w:t>
      </w:r>
    </w:p>
    <w:p>
      <w:pPr>
        <w:pStyle w:val="ListParagraph"/>
        <w:numPr>
          <w:ilvl w:val="0"/>
          <w:numId w:val="2"/>
        </w:numPr>
        <w:spacing w:after="40"/>
      </w:pPr>
      <w:r>
        <w:rPr>
          <w:rFonts w:ascii="Arial" w:cs="Arial" w:eastAsia="Arial" w:hAnsi="Arial"/>
          <w:b w:val="false"/>
          <w:bCs w:val="false"/>
          <w:color w:val="1A1A1A"/>
          <w:sz w:val="20"/>
          <w:szCs w:val="20"/>
        </w:rPr>
        <w:t xml:space="preserve">Threatening actors described as connected to local officials</w:t>
      </w:r>
    </w:p>
    <w:p>
      <w:pPr>
        <w:pStyle w:val="ListParagraph"/>
        <w:numPr>
          <w:ilvl w:val="0"/>
          <w:numId w:val="2"/>
        </w:numPr>
        <w:spacing w:after="40"/>
      </w:pPr>
      <w:r>
        <w:rPr>
          <w:rFonts w:ascii="Arial" w:cs="Arial" w:eastAsia="Arial" w:hAnsi="Arial"/>
          <w:b w:val="false"/>
          <w:bCs w:val="false"/>
          <w:color w:val="1A1A1A"/>
          <w:sz w:val="20"/>
          <w:szCs w:val="20"/>
        </w:rPr>
        <w:t xml:space="preserve">No mention of client reporting incidents to police or seeking government protection</w:t>
      </w:r>
    </w:p>
    <w:p>
      <w:pPr>
        <w:pStyle w:val="ListParagraph"/>
        <w:numPr>
          <w:ilvl w:val="0"/>
          <w:numId w:val="2"/>
        </w:numPr>
        <w:spacing w:after="40"/>
      </w:pPr>
      <w:r>
        <w:rPr>
          <w:rFonts w:ascii="Arial" w:cs="Arial" w:eastAsia="Arial" w:hAnsi="Arial"/>
          <w:b w:val="false"/>
          <w:bCs w:val="false"/>
          <w:color w:val="1A1A1A"/>
          <w:sz w:val="20"/>
          <w:szCs w:val="20"/>
        </w:rPr>
        <w:t xml:space="preserve">Government nexus is implied but not yet clearly established — requires further development</w:t>
      </w:r>
    </w:p>
    <w:p>
      <w:pPr>
        <w:spacing w:after="80"/>
      </w:pPr>
      <w:r>
        <w:t xml:space="preserve"/>
      </w:r>
    </w:p>
    <w:p>
      <w:pPr>
        <w:pStyle w:val="Heading2"/>
        <w:spacing w:after="80" w:before="200"/>
      </w:pPr>
      <w:r>
        <w:rPr>
          <w:rFonts w:ascii="Arial" w:cs="Arial" w:eastAsia="Arial" w:hAnsi="Arial"/>
          <w:b/>
          <w:bCs/>
          <w:color w:val="1F3864"/>
          <w:sz w:val="24"/>
          <w:szCs w:val="24"/>
        </w:rPr>
        <w:t xml:space="preserve">Timeline of Events</w:t>
      </w:r>
    </w:p>
    <w:p>
      <w:pPr>
        <w:pStyle w:val="ListParagraph"/>
        <w:numPr>
          <w:ilvl w:val="0"/>
          <w:numId w:val="2"/>
        </w:numPr>
        <w:spacing w:after="40"/>
      </w:pPr>
      <w:r>
        <w:rPr>
          <w:rFonts w:ascii="Arial" w:cs="Arial" w:eastAsia="Arial" w:hAnsi="Arial"/>
          <w:b w:val="false"/>
          <w:bCs w:val="false"/>
          <w:color w:val="1A1A1A"/>
          <w:sz w:val="20"/>
          <w:szCs w:val="20"/>
        </w:rPr>
        <w:t xml:space="preserve">Date of demonstration participation: unclear</w:t>
      </w:r>
    </w:p>
    <w:p>
      <w:pPr>
        <w:pStyle w:val="ListParagraph"/>
        <w:numPr>
          <w:ilvl w:val="0"/>
          <w:numId w:val="2"/>
        </w:numPr>
        <w:spacing w:after="40"/>
      </w:pPr>
      <w:r>
        <w:rPr>
          <w:rFonts w:ascii="Arial" w:cs="Arial" w:eastAsia="Arial" w:hAnsi="Arial"/>
          <w:b w:val="false"/>
          <w:bCs w:val="false"/>
          <w:color w:val="1A1A1A"/>
          <w:sz w:val="20"/>
          <w:szCs w:val="20"/>
        </w:rPr>
        <w:t xml:space="preserve">Date threats began: unclear</w:t>
      </w:r>
    </w:p>
    <w:p>
      <w:pPr>
        <w:pStyle w:val="ListParagraph"/>
        <w:numPr>
          <w:ilvl w:val="0"/>
          <w:numId w:val="2"/>
        </w:numPr>
        <w:spacing w:after="40"/>
      </w:pPr>
      <w:r>
        <w:rPr>
          <w:rFonts w:ascii="Arial" w:cs="Arial" w:eastAsia="Arial" w:hAnsi="Arial"/>
          <w:b w:val="false"/>
          <w:bCs w:val="false"/>
          <w:color w:val="1A1A1A"/>
          <w:sz w:val="20"/>
          <w:szCs w:val="20"/>
        </w:rPr>
        <w:t xml:space="preserve">Date of workplace incident: unclear</w:t>
      </w:r>
    </w:p>
    <w:p>
      <w:pPr>
        <w:pStyle w:val="ListParagraph"/>
        <w:numPr>
          <w:ilvl w:val="0"/>
          <w:numId w:val="2"/>
        </w:numPr>
        <w:spacing w:after="40"/>
      </w:pPr>
      <w:r>
        <w:rPr>
          <w:rFonts w:ascii="Arial" w:cs="Arial" w:eastAsia="Arial" w:hAnsi="Arial"/>
          <w:b w:val="false"/>
          <w:bCs w:val="false"/>
          <w:color w:val="1A1A1A"/>
          <w:sz w:val="20"/>
          <w:szCs w:val="20"/>
        </w:rPr>
        <w:t xml:space="preserve">Date of departure from Venezuela: 2023 (specific date unknown)</w:t>
      </w:r>
    </w:p>
    <w:p>
      <w:pPr>
        <w:pStyle w:val="ListParagraph"/>
        <w:numPr>
          <w:ilvl w:val="0"/>
          <w:numId w:val="2"/>
        </w:numPr>
        <w:spacing w:after="40"/>
      </w:pPr>
      <w:r>
        <w:rPr>
          <w:rFonts w:ascii="Arial" w:cs="Arial" w:eastAsia="Arial" w:hAnsi="Arial"/>
          <w:b w:val="false"/>
          <w:bCs w:val="false"/>
          <w:color w:val="1A1A1A"/>
          <w:sz w:val="20"/>
          <w:szCs w:val="20"/>
        </w:rPr>
        <w:t xml:space="preserve">Date of U.S. entry: 2023, southern border (specific date unknown)</w:t>
      </w:r>
    </w:p>
    <w:p>
      <w:pPr>
        <w:spacing w:after="80"/>
      </w:pPr>
      <w:r>
        <w:t xml:space="preserve"/>
      </w:r>
    </w:p>
    <w:p>
      <w:pPr>
        <w:pStyle w:val="Heading2"/>
        <w:spacing w:after="80" w:before="200"/>
      </w:pPr>
      <w:r>
        <w:rPr>
          <w:rFonts w:ascii="Arial" w:cs="Arial" w:eastAsia="Arial" w:hAnsi="Arial"/>
          <w:b/>
          <w:bCs/>
          <w:color w:val="1F3864"/>
          <w:sz w:val="24"/>
          <w:szCs w:val="24"/>
        </w:rPr>
        <w:t xml:space="preserve">Entry Into the United States</w:t>
      </w:r>
    </w:p>
    <w:p>
      <w:pPr>
        <w:pStyle w:val="ListParagraph"/>
        <w:numPr>
          <w:ilvl w:val="0"/>
          <w:numId w:val="2"/>
        </w:numPr>
        <w:spacing w:after="40"/>
      </w:pPr>
      <w:r>
        <w:rPr>
          <w:rFonts w:ascii="Arial" w:cs="Arial" w:eastAsia="Arial" w:hAnsi="Arial"/>
          <w:b w:val="false"/>
          <w:bCs w:val="false"/>
          <w:color w:val="1A1A1A"/>
          <w:sz w:val="20"/>
          <w:szCs w:val="20"/>
        </w:rPr>
        <w:t xml:space="preserve">Entered through the southern border in 2023</w:t>
      </w:r>
    </w:p>
    <w:p>
      <w:pPr>
        <w:pStyle w:val="ListParagraph"/>
        <w:numPr>
          <w:ilvl w:val="0"/>
          <w:numId w:val="2"/>
        </w:numPr>
        <w:spacing w:after="40"/>
      </w:pPr>
      <w:r>
        <w:rPr>
          <w:rFonts w:ascii="Arial" w:cs="Arial" w:eastAsia="Arial" w:hAnsi="Arial"/>
          <w:b w:val="false"/>
          <w:bCs w:val="false"/>
          <w:color w:val="1A1A1A"/>
          <w:sz w:val="20"/>
          <w:szCs w:val="20"/>
        </w:rPr>
        <w:t xml:space="preserve">Entry method (port of entry vs. between ports) not specified</w:t>
      </w:r>
    </w:p>
    <w:p>
      <w:pPr>
        <w:pStyle w:val="ListParagraph"/>
        <w:numPr>
          <w:ilvl w:val="0"/>
          <w:numId w:val="2"/>
        </w:numPr>
        <w:spacing w:after="40"/>
      </w:pPr>
      <w:r>
        <w:rPr>
          <w:rFonts w:ascii="Arial" w:cs="Arial" w:eastAsia="Arial" w:hAnsi="Arial"/>
          <w:b w:val="false"/>
          <w:bCs w:val="false"/>
          <w:color w:val="1A1A1A"/>
          <w:sz w:val="20"/>
          <w:szCs w:val="20"/>
        </w:rPr>
        <w:t xml:space="preserve">Whether credible fear interview was conducted is unclear</w:t>
      </w:r>
    </w:p>
    <w:p>
      <w:pPr>
        <w:spacing w:after="80"/>
      </w:pPr>
      <w:r>
        <w:t xml:space="preserve"/>
      </w:r>
    </w:p>
    <w:p>
      <w:pPr>
        <w:pStyle w:val="Heading2"/>
        <w:spacing w:after="80" w:before="200"/>
      </w:pPr>
      <w:r>
        <w:rPr>
          <w:rFonts w:ascii="Arial" w:cs="Arial" w:eastAsia="Arial" w:hAnsi="Arial"/>
          <w:b/>
          <w:bCs/>
          <w:color w:val="1F3864"/>
          <w:sz w:val="24"/>
          <w:szCs w:val="24"/>
        </w:rPr>
        <w:t xml:space="preserve">Current Situation</w:t>
      </w:r>
    </w:p>
    <w:p>
      <w:pPr>
        <w:pStyle w:val="ListParagraph"/>
        <w:numPr>
          <w:ilvl w:val="0"/>
          <w:numId w:val="2"/>
        </w:numPr>
        <w:spacing w:after="40"/>
      </w:pPr>
      <w:r>
        <w:rPr>
          <w:rFonts w:ascii="Arial" w:cs="Arial" w:eastAsia="Arial" w:hAnsi="Arial"/>
          <w:b w:val="false"/>
          <w:bCs w:val="false"/>
          <w:color w:val="1A1A1A"/>
          <w:sz w:val="20"/>
          <w:szCs w:val="20"/>
        </w:rPr>
        <w:t xml:space="preserve">Living with relatives in Florida</w:t>
      </w:r>
    </w:p>
    <w:p>
      <w:pPr>
        <w:pStyle w:val="ListParagraph"/>
        <w:numPr>
          <w:ilvl w:val="0"/>
          <w:numId w:val="2"/>
        </w:numPr>
        <w:spacing w:after="40"/>
      </w:pPr>
      <w:r>
        <w:rPr>
          <w:rFonts w:ascii="Arial" w:cs="Arial" w:eastAsia="Arial" w:hAnsi="Arial"/>
          <w:b w:val="false"/>
          <w:bCs w:val="false"/>
          <w:color w:val="1A1A1A"/>
          <w:sz w:val="20"/>
          <w:szCs w:val="20"/>
        </w:rPr>
        <w:t xml:space="preserve">Working informally (house cleaning)</w:t>
      </w:r>
    </w:p>
    <w:p>
      <w:pPr>
        <w:pStyle w:val="ListParagraph"/>
        <w:numPr>
          <w:ilvl w:val="0"/>
          <w:numId w:val="2"/>
        </w:numPr>
        <w:spacing w:after="40"/>
      </w:pPr>
      <w:r>
        <w:rPr>
          <w:rFonts w:ascii="Arial" w:cs="Arial" w:eastAsia="Arial" w:hAnsi="Arial"/>
          <w:b w:val="false"/>
          <w:bCs w:val="false"/>
          <w:color w:val="1A1A1A"/>
          <w:sz w:val="20"/>
          <w:szCs w:val="20"/>
        </w:rPr>
        <w:t xml:space="preserve">NTA received; master calendar hearing approximately 45 days out</w:t>
      </w:r>
    </w:p>
    <w:p>
      <w:pPr>
        <w:pStyle w:val="ListParagraph"/>
        <w:numPr>
          <w:ilvl w:val="0"/>
          <w:numId w:val="2"/>
        </w:numPr>
        <w:spacing w:after="40"/>
      </w:pPr>
      <w:r>
        <w:rPr>
          <w:rFonts w:ascii="Arial" w:cs="Arial" w:eastAsia="Arial" w:hAnsi="Arial"/>
          <w:b w:val="false"/>
          <w:bCs w:val="false"/>
          <w:color w:val="1A1A1A"/>
          <w:sz w:val="20"/>
          <w:szCs w:val="20"/>
        </w:rPr>
        <w:t xml:space="preserve">No criminal history reported</w:t>
      </w:r>
    </w:p>
    <w:p>
      <w:pPr>
        <w:spacing w:after="80"/>
      </w:pPr>
      <w:r>
        <w:t xml:space="preserve"/>
      </w:r>
    </w:p>
    <w:p>
      <w:pPr>
        <w:pStyle w:val="Heading2"/>
        <w:spacing w:after="80" w:before="200"/>
      </w:pPr>
      <w:r>
        <w:rPr>
          <w:rFonts w:ascii="Arial" w:cs="Arial" w:eastAsia="Arial" w:hAnsi="Arial"/>
          <w:b/>
          <w:bCs/>
          <w:color w:val="1F3864"/>
          <w:sz w:val="24"/>
          <w:szCs w:val="24"/>
        </w:rPr>
        <w:t xml:space="preserve">Fear of Return</w:t>
      </w:r>
    </w:p>
    <w:p>
      <w:pPr>
        <w:pStyle w:val="ListParagraph"/>
        <w:numPr>
          <w:ilvl w:val="0"/>
          <w:numId w:val="2"/>
        </w:numPr>
        <w:spacing w:after="40"/>
      </w:pPr>
      <w:r>
        <w:rPr>
          <w:rFonts w:ascii="Arial" w:cs="Arial" w:eastAsia="Arial" w:hAnsi="Arial"/>
          <w:b w:val="false"/>
          <w:bCs w:val="false"/>
          <w:color w:val="1A1A1A"/>
          <w:sz w:val="20"/>
          <w:szCs w:val="20"/>
        </w:rPr>
        <w:t xml:space="preserve">Client states she fears the same group would target her again if returned to Venezuela</w:t>
      </w:r>
    </w:p>
    <w:p>
      <w:pPr>
        <w:pStyle w:val="ListParagraph"/>
        <w:numPr>
          <w:ilvl w:val="0"/>
          <w:numId w:val="2"/>
        </w:numPr>
        <w:spacing w:after="40"/>
      </w:pPr>
      <w:r>
        <w:rPr>
          <w:rFonts w:ascii="Arial" w:cs="Arial" w:eastAsia="Arial" w:hAnsi="Arial"/>
          <w:b w:val="false"/>
          <w:bCs w:val="false"/>
          <w:color w:val="1A1A1A"/>
          <w:sz w:val="20"/>
          <w:szCs w:val="20"/>
        </w:rPr>
        <w:t xml:space="preserve">Fear appears genuine and consistent with described pattern of threats</w:t>
      </w:r>
    </w:p>
    <w:p>
      <w:pPr>
        <w:pStyle w:val="ListParagraph"/>
        <w:numPr>
          <w:ilvl w:val="0"/>
          <w:numId w:val="2"/>
        </w:numPr>
        <w:spacing w:after="40"/>
      </w:pPr>
      <w:r>
        <w:rPr>
          <w:rFonts w:ascii="Arial" w:cs="Arial" w:eastAsia="Arial" w:hAnsi="Arial"/>
          <w:b w:val="false"/>
          <w:bCs w:val="false"/>
          <w:color w:val="1A1A1A"/>
          <w:sz w:val="20"/>
          <w:szCs w:val="20"/>
        </w:rPr>
        <w:t xml:space="preserve">Specific fear articulation should be developed further in declaration interview</w:t>
      </w:r>
    </w:p>
    <w:p>
      <w:pPr>
        <w:spacing w:after="80"/>
      </w:pPr>
      <w:r>
        <w:t xml:space="preserve"/>
      </w:r>
    </w:p>
    <w:p>
      <w:pPr>
        <w:pStyle w:val="Heading1"/>
        <w:spacing w:after="120" w:before="320"/>
      </w:pPr>
      <w:r>
        <w:rPr>
          <w:rFonts w:ascii="Arial" w:cs="Arial" w:eastAsia="Arial" w:hAnsi="Arial"/>
          <w:b/>
          <w:bCs/>
          <w:color w:val="1F3864"/>
          <w:sz w:val="28"/>
          <w:szCs w:val="28"/>
        </w:rPr>
        <w:t xml:space="preserve">4. Potential Legal/Risk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c>
          <w:tcPr>
            <w:tcW w:type="dxa" w:w="2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Attorney Review Needed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One-year filing bar</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Entry was in 2023; if no asylum application filed, one-year deadline may have passed or be imminent depending on exact entry date.</w:t>
            </w:r>
          </w:p>
        </w:tc>
        <w:tc>
          <w:tcPr>
            <w:tcW w:type="dxa" w:w="2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confirm entry date and filing history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Particular social group (PSG) unclear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Claim rests on political opinion and/or PSG; group composition needs precise legal framing to survive scrutiny.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attorney must define PSG and assess nexus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Government nexus ambiguity</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Actors described as "connected to local officials" — degree and directness of nexus not yet established.</w:t>
            </w:r>
          </w:p>
        </w:tc>
        <w:tc>
          <w:tcPr>
            <w:tcW w:type="dxa" w:w="2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nexus analysis is foundational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Inconsistent timeline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 had difficulty remembering dates during intake; noted emotional distress.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credibility is central; trauma-informed declaration prep needed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Prior removal proceeding</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NTA issued; client is in removal proceedings — affirmative asylum pathway may be foreclosed; defensive posture likely.</w:t>
            </w:r>
          </w:p>
        </w:tc>
        <w:tc>
          <w:tcPr>
            <w:tcW w:type="dxa" w:w="2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confirm procedural posture with immigration court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Corroborating evidence gaps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No police reports or medical records; relies on WhatsApp screenshots and demonstration photos.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evidence package needs significant development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Son's status</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8-year-old son's immigration status not addressed in intake.</w:t>
            </w:r>
          </w:p>
        </w:tc>
        <w:tc>
          <w:tcPr>
            <w:tcW w:type="dxa" w:w="2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derivative vs. independent claim must be assessed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Informal employment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Working without authorization may be relevant to status and future applications.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Flag — attorney to assess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Trauma-related memory gaps</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Inconsistent dates and visible distress may affect credibility if not properly documented and addressed.</w:t>
            </w:r>
          </w:p>
        </w:tc>
        <w:tc>
          <w:tcPr>
            <w:tcW w:type="dxa" w:w="2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Yes — psychological evaluation may be warranted</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5. Missing Information</w:t>
      </w:r>
    </w:p>
    <w:p>
      <w:pPr>
        <w:spacing w:after="60" w:before="160"/>
      </w:pPr>
      <w:r>
        <w:rPr>
          <w:rFonts w:ascii="Arial" w:cs="Arial" w:eastAsia="Arial" w:hAnsi="Arial"/>
          <w:b/>
          <w:bCs/>
          <w:color w:val="1A1A1A"/>
          <w:sz w:val="22"/>
          <w:szCs w:val="22"/>
          <w:u w:val="single"/>
        </w:rPr>
        <w:t xml:space="preserve">Identity &amp; Background</w:t>
      </w:r>
    </w:p>
    <w:p>
      <w:pPr>
        <w:pStyle w:val="ListParagraph"/>
        <w:numPr>
          <w:ilvl w:val="0"/>
          <w:numId w:val="2"/>
        </w:numPr>
        <w:spacing w:after="40"/>
      </w:pPr>
      <w:r>
        <w:rPr>
          <w:rFonts w:ascii="Arial" w:cs="Arial" w:eastAsia="Arial" w:hAnsi="Arial"/>
          <w:b w:val="false"/>
          <w:bCs w:val="false"/>
          <w:color w:val="1A1A1A"/>
          <w:sz w:val="20"/>
          <w:szCs w:val="20"/>
        </w:rPr>
        <w:t xml:space="preserve">Full legal name</w:t>
      </w:r>
    </w:p>
    <w:p>
      <w:pPr>
        <w:pStyle w:val="ListParagraph"/>
        <w:numPr>
          <w:ilvl w:val="0"/>
          <w:numId w:val="2"/>
        </w:numPr>
        <w:spacing w:after="40"/>
      </w:pPr>
      <w:r>
        <w:rPr>
          <w:rFonts w:ascii="Arial" w:cs="Arial" w:eastAsia="Arial" w:hAnsi="Arial"/>
          <w:b w:val="false"/>
          <w:bCs w:val="false"/>
          <w:color w:val="1A1A1A"/>
          <w:sz w:val="20"/>
          <w:szCs w:val="20"/>
        </w:rPr>
        <w:t xml:space="preserve">Date of birth (confirmed)</w:t>
      </w:r>
    </w:p>
    <w:p>
      <w:pPr>
        <w:pStyle w:val="ListParagraph"/>
        <w:numPr>
          <w:ilvl w:val="0"/>
          <w:numId w:val="2"/>
        </w:numPr>
        <w:spacing w:after="40"/>
      </w:pPr>
      <w:r>
        <w:rPr>
          <w:rFonts w:ascii="Arial" w:cs="Arial" w:eastAsia="Arial" w:hAnsi="Arial"/>
          <w:b w:val="false"/>
          <w:bCs w:val="false"/>
          <w:color w:val="1A1A1A"/>
          <w:sz w:val="20"/>
          <w:szCs w:val="20"/>
        </w:rPr>
        <w:t xml:space="preserve">Nationality and ethnicity</w:t>
      </w:r>
    </w:p>
    <w:p>
      <w:pPr>
        <w:pStyle w:val="ListParagraph"/>
        <w:numPr>
          <w:ilvl w:val="0"/>
          <w:numId w:val="2"/>
        </w:numPr>
        <w:spacing w:after="40"/>
      </w:pPr>
      <w:r>
        <w:rPr>
          <w:rFonts w:ascii="Arial" w:cs="Arial" w:eastAsia="Arial" w:hAnsi="Arial"/>
          <w:b w:val="false"/>
          <w:bCs w:val="false"/>
          <w:color w:val="1A1A1A"/>
          <w:sz w:val="20"/>
          <w:szCs w:val="20"/>
        </w:rPr>
        <w:t xml:space="preserve">Prior addresses in Venezuela</w:t>
      </w:r>
    </w:p>
    <w:p>
      <w:pPr>
        <w:pStyle w:val="ListParagraph"/>
        <w:numPr>
          <w:ilvl w:val="0"/>
          <w:numId w:val="2"/>
        </w:numPr>
        <w:spacing w:after="40"/>
      </w:pPr>
      <w:r>
        <w:rPr>
          <w:rFonts w:ascii="Arial" w:cs="Arial" w:eastAsia="Arial" w:hAnsi="Arial"/>
          <w:b w:val="false"/>
          <w:bCs w:val="false"/>
          <w:color w:val="1A1A1A"/>
          <w:sz w:val="20"/>
          <w:szCs w:val="20"/>
        </w:rPr>
        <w:t xml:space="preserve">Educational and employment background</w:t>
      </w:r>
    </w:p>
    <w:p>
      <w:pPr>
        <w:spacing w:after="80"/>
      </w:pPr>
      <w:r>
        <w:t xml:space="preserve"/>
      </w:r>
    </w:p>
    <w:p>
      <w:pPr>
        <w:spacing w:after="60" w:before="160"/>
      </w:pPr>
      <w:r>
        <w:rPr>
          <w:rFonts w:ascii="Arial" w:cs="Arial" w:eastAsia="Arial" w:hAnsi="Arial"/>
          <w:b/>
          <w:bCs/>
          <w:color w:val="1A1A1A"/>
          <w:sz w:val="22"/>
          <w:szCs w:val="22"/>
          <w:u w:val="single"/>
        </w:rPr>
        <w:t xml:space="preserve">Timeline Clarifications</w:t>
      </w:r>
    </w:p>
    <w:p>
      <w:pPr>
        <w:pStyle w:val="ListParagraph"/>
        <w:numPr>
          <w:ilvl w:val="0"/>
          <w:numId w:val="2"/>
        </w:numPr>
        <w:spacing w:after="40"/>
      </w:pPr>
      <w:r>
        <w:rPr>
          <w:rFonts w:ascii="Arial" w:cs="Arial" w:eastAsia="Arial" w:hAnsi="Arial"/>
          <w:b w:val="false"/>
          <w:bCs w:val="false"/>
          <w:color w:val="1A1A1A"/>
          <w:sz w:val="20"/>
          <w:szCs w:val="20"/>
        </w:rPr>
        <w:t xml:space="preserve">Exact date of U.S. entry in 2023</w:t>
      </w:r>
    </w:p>
    <w:p>
      <w:pPr>
        <w:pStyle w:val="ListParagraph"/>
        <w:numPr>
          <w:ilvl w:val="0"/>
          <w:numId w:val="2"/>
        </w:numPr>
        <w:spacing w:after="40"/>
      </w:pPr>
      <w:r>
        <w:rPr>
          <w:rFonts w:ascii="Arial" w:cs="Arial" w:eastAsia="Arial" w:hAnsi="Arial"/>
          <w:b w:val="false"/>
          <w:bCs w:val="false"/>
          <w:color w:val="1A1A1A"/>
          <w:sz w:val="20"/>
          <w:szCs w:val="20"/>
        </w:rPr>
        <w:t xml:space="preserve">Dates of demonstrations</w:t>
      </w:r>
    </w:p>
    <w:p>
      <w:pPr>
        <w:pStyle w:val="ListParagraph"/>
        <w:numPr>
          <w:ilvl w:val="0"/>
          <w:numId w:val="2"/>
        </w:numPr>
        <w:spacing w:after="40"/>
      </w:pPr>
      <w:r>
        <w:rPr>
          <w:rFonts w:ascii="Arial" w:cs="Arial" w:eastAsia="Arial" w:hAnsi="Arial"/>
          <w:b w:val="false"/>
          <w:bCs w:val="false"/>
          <w:color w:val="1A1A1A"/>
          <w:sz w:val="20"/>
          <w:szCs w:val="20"/>
        </w:rPr>
        <w:t xml:space="preserve">Dates of each threat incident</w:t>
      </w:r>
    </w:p>
    <w:p>
      <w:pPr>
        <w:pStyle w:val="ListParagraph"/>
        <w:numPr>
          <w:ilvl w:val="0"/>
          <w:numId w:val="2"/>
        </w:numPr>
        <w:spacing w:after="40"/>
      </w:pPr>
      <w:r>
        <w:rPr>
          <w:rFonts w:ascii="Arial" w:cs="Arial" w:eastAsia="Arial" w:hAnsi="Arial"/>
          <w:b w:val="false"/>
          <w:bCs w:val="false"/>
          <w:color w:val="1A1A1A"/>
          <w:sz w:val="20"/>
          <w:szCs w:val="20"/>
        </w:rPr>
        <w:t xml:space="preserve">Date of workplace confrontation</w:t>
      </w:r>
    </w:p>
    <w:p>
      <w:pPr>
        <w:pStyle w:val="ListParagraph"/>
        <w:numPr>
          <w:ilvl w:val="0"/>
          <w:numId w:val="2"/>
        </w:numPr>
        <w:spacing w:after="40"/>
      </w:pPr>
      <w:r>
        <w:rPr>
          <w:rFonts w:ascii="Arial" w:cs="Arial" w:eastAsia="Arial" w:hAnsi="Arial"/>
          <w:b w:val="false"/>
          <w:bCs w:val="false"/>
          <w:color w:val="1A1A1A"/>
          <w:sz w:val="20"/>
          <w:szCs w:val="20"/>
        </w:rPr>
        <w:t xml:space="preserve">Date of departure from Venezuela</w:t>
      </w:r>
    </w:p>
    <w:p>
      <w:pPr>
        <w:spacing w:after="80"/>
      </w:pPr>
      <w:r>
        <w:t xml:space="preserve"/>
      </w:r>
    </w:p>
    <w:p>
      <w:pPr>
        <w:spacing w:after="60" w:before="160"/>
      </w:pPr>
      <w:r>
        <w:rPr>
          <w:rFonts w:ascii="Arial" w:cs="Arial" w:eastAsia="Arial" w:hAnsi="Arial"/>
          <w:b/>
          <w:bCs/>
          <w:color w:val="1A1A1A"/>
          <w:sz w:val="22"/>
          <w:szCs w:val="22"/>
          <w:u w:val="single"/>
        </w:rPr>
        <w:t xml:space="preserve">Harm &amp; Threat Details</w:t>
      </w:r>
    </w:p>
    <w:p>
      <w:pPr>
        <w:pStyle w:val="ListParagraph"/>
        <w:numPr>
          <w:ilvl w:val="0"/>
          <w:numId w:val="2"/>
        </w:numPr>
        <w:spacing w:after="40"/>
      </w:pPr>
      <w:r>
        <w:rPr>
          <w:rFonts w:ascii="Arial" w:cs="Arial" w:eastAsia="Arial" w:hAnsi="Arial"/>
          <w:b w:val="false"/>
          <w:bCs w:val="false"/>
          <w:color w:val="1A1A1A"/>
          <w:sz w:val="20"/>
          <w:szCs w:val="20"/>
        </w:rPr>
        <w:t xml:space="preserve">Nature and content of WhatsApp threats</w:t>
      </w:r>
    </w:p>
    <w:p>
      <w:pPr>
        <w:pStyle w:val="ListParagraph"/>
        <w:numPr>
          <w:ilvl w:val="0"/>
          <w:numId w:val="2"/>
        </w:numPr>
        <w:spacing w:after="40"/>
      </w:pPr>
      <w:r>
        <w:rPr>
          <w:rFonts w:ascii="Arial" w:cs="Arial" w:eastAsia="Arial" w:hAnsi="Arial"/>
          <w:b w:val="false"/>
          <w:bCs w:val="false"/>
          <w:color w:val="1A1A1A"/>
          <w:sz w:val="20"/>
          <w:szCs w:val="20"/>
        </w:rPr>
        <w:t xml:space="preserve">Number of separate threat incidents</w:t>
      </w:r>
    </w:p>
    <w:p>
      <w:pPr>
        <w:pStyle w:val="ListParagraph"/>
        <w:numPr>
          <w:ilvl w:val="0"/>
          <w:numId w:val="2"/>
        </w:numPr>
        <w:spacing w:after="40"/>
      </w:pPr>
      <w:r>
        <w:rPr>
          <w:rFonts w:ascii="Arial" w:cs="Arial" w:eastAsia="Arial" w:hAnsi="Arial"/>
          <w:b w:val="false"/>
          <w:bCs w:val="false"/>
          <w:color w:val="1A1A1A"/>
          <w:sz w:val="20"/>
          <w:szCs w:val="20"/>
        </w:rPr>
        <w:t xml:space="preserve">Whether client suffered any physical harm</w:t>
      </w:r>
    </w:p>
    <w:p>
      <w:pPr>
        <w:pStyle w:val="ListParagraph"/>
        <w:numPr>
          <w:ilvl w:val="0"/>
          <w:numId w:val="2"/>
        </w:numPr>
        <w:spacing w:after="40"/>
      </w:pPr>
      <w:r>
        <w:rPr>
          <w:rFonts w:ascii="Arial" w:cs="Arial" w:eastAsia="Arial" w:hAnsi="Arial"/>
          <w:b w:val="false"/>
          <w:bCs w:val="false"/>
          <w:color w:val="1A1A1A"/>
          <w:sz w:val="20"/>
          <w:szCs w:val="20"/>
        </w:rPr>
        <w:t xml:space="preserve">Whether son was present or threatened</w:t>
      </w:r>
    </w:p>
    <w:p>
      <w:pPr>
        <w:pStyle w:val="ListParagraph"/>
        <w:numPr>
          <w:ilvl w:val="0"/>
          <w:numId w:val="2"/>
        </w:numPr>
        <w:spacing w:after="40"/>
      </w:pPr>
      <w:r>
        <w:rPr>
          <w:rFonts w:ascii="Arial" w:cs="Arial" w:eastAsia="Arial" w:hAnsi="Arial"/>
          <w:b w:val="false"/>
          <w:bCs w:val="false"/>
          <w:color w:val="1A1A1A"/>
          <w:sz w:val="20"/>
          <w:szCs w:val="20"/>
        </w:rPr>
        <w:t xml:space="preserve">Identity of threatening actors (names, affiliation, description)</w:t>
      </w:r>
    </w:p>
    <w:p>
      <w:pPr>
        <w:spacing w:after="80"/>
      </w:pPr>
      <w:r>
        <w:t xml:space="preserve"/>
      </w:r>
    </w:p>
    <w:p>
      <w:pPr>
        <w:spacing w:after="60" w:before="160"/>
      </w:pPr>
      <w:r>
        <w:rPr>
          <w:rFonts w:ascii="Arial" w:cs="Arial" w:eastAsia="Arial" w:hAnsi="Arial"/>
          <w:b/>
          <w:bCs/>
          <w:color w:val="1A1A1A"/>
          <w:sz w:val="22"/>
          <w:szCs w:val="22"/>
          <w:u w:val="single"/>
        </w:rPr>
        <w:t xml:space="preserve">Government Interaction</w:t>
      </w:r>
    </w:p>
    <w:p>
      <w:pPr>
        <w:pStyle w:val="ListParagraph"/>
        <w:numPr>
          <w:ilvl w:val="0"/>
          <w:numId w:val="2"/>
        </w:numPr>
        <w:spacing w:after="40"/>
      </w:pPr>
      <w:r>
        <w:rPr>
          <w:rFonts w:ascii="Arial" w:cs="Arial" w:eastAsia="Arial" w:hAnsi="Arial"/>
          <w:b w:val="false"/>
          <w:bCs w:val="false"/>
          <w:color w:val="1A1A1A"/>
          <w:sz w:val="20"/>
          <w:szCs w:val="20"/>
        </w:rPr>
        <w:t xml:space="preserve">Whether client ever reported threats to police or authorities in Venezuela</w:t>
      </w:r>
    </w:p>
    <w:p>
      <w:pPr>
        <w:pStyle w:val="ListParagraph"/>
        <w:numPr>
          <w:ilvl w:val="0"/>
          <w:numId w:val="2"/>
        </w:numPr>
        <w:spacing w:after="40"/>
      </w:pPr>
      <w:r>
        <w:rPr>
          <w:rFonts w:ascii="Arial" w:cs="Arial" w:eastAsia="Arial" w:hAnsi="Arial"/>
          <w:b w:val="false"/>
          <w:bCs w:val="false"/>
          <w:color w:val="1A1A1A"/>
          <w:sz w:val="20"/>
          <w:szCs w:val="20"/>
        </w:rPr>
        <w:t xml:space="preserve">Any government response if reported</w:t>
      </w:r>
    </w:p>
    <w:p>
      <w:pPr>
        <w:pStyle w:val="ListParagraph"/>
        <w:numPr>
          <w:ilvl w:val="0"/>
          <w:numId w:val="2"/>
        </w:numPr>
        <w:spacing w:after="40"/>
      </w:pPr>
      <w:r>
        <w:rPr>
          <w:rFonts w:ascii="Arial" w:cs="Arial" w:eastAsia="Arial" w:hAnsi="Arial"/>
          <w:b w:val="false"/>
          <w:bCs w:val="false"/>
          <w:color w:val="1A1A1A"/>
          <w:sz w:val="20"/>
          <w:szCs w:val="20"/>
        </w:rPr>
        <w:t xml:space="preserve">Specific connection between threatening actors and local officials — names, roles, relationships</w:t>
      </w:r>
    </w:p>
    <w:p>
      <w:pPr>
        <w:spacing w:after="80"/>
      </w:pPr>
      <w:r>
        <w:t xml:space="preserve"/>
      </w:r>
    </w:p>
    <w:p>
      <w:pPr>
        <w:spacing w:after="60" w:before="160"/>
      </w:pPr>
      <w:r>
        <w:rPr>
          <w:rFonts w:ascii="Arial" w:cs="Arial" w:eastAsia="Arial" w:hAnsi="Arial"/>
          <w:b/>
          <w:bCs/>
          <w:color w:val="1A1A1A"/>
          <w:sz w:val="22"/>
          <w:szCs w:val="22"/>
          <w:u w:val="single"/>
        </w:rPr>
        <w:t xml:space="preserve">Immigration History</w:t>
      </w:r>
    </w:p>
    <w:p>
      <w:pPr>
        <w:pStyle w:val="ListParagraph"/>
        <w:numPr>
          <w:ilvl w:val="0"/>
          <w:numId w:val="2"/>
        </w:numPr>
        <w:spacing w:after="40"/>
      </w:pPr>
      <w:r>
        <w:rPr>
          <w:rFonts w:ascii="Arial" w:cs="Arial" w:eastAsia="Arial" w:hAnsi="Arial"/>
          <w:b w:val="false"/>
          <w:bCs w:val="false"/>
          <w:color w:val="1A1A1A"/>
          <w:sz w:val="20"/>
          <w:szCs w:val="20"/>
        </w:rPr>
        <w:t xml:space="preserve">Exact entry date and location</w:t>
      </w:r>
    </w:p>
    <w:p>
      <w:pPr>
        <w:pStyle w:val="ListParagraph"/>
        <w:numPr>
          <w:ilvl w:val="0"/>
          <w:numId w:val="2"/>
        </w:numPr>
        <w:spacing w:after="40"/>
      </w:pPr>
      <w:r>
        <w:rPr>
          <w:rFonts w:ascii="Arial" w:cs="Arial" w:eastAsia="Arial" w:hAnsi="Arial"/>
          <w:b w:val="false"/>
          <w:bCs w:val="false"/>
          <w:color w:val="1A1A1A"/>
          <w:sz w:val="20"/>
          <w:szCs w:val="20"/>
        </w:rPr>
        <w:t xml:space="preserve">Port of entry or between-ports crossing</w:t>
      </w:r>
    </w:p>
    <w:p>
      <w:pPr>
        <w:pStyle w:val="ListParagraph"/>
        <w:numPr>
          <w:ilvl w:val="0"/>
          <w:numId w:val="2"/>
        </w:numPr>
        <w:spacing w:after="40"/>
      </w:pPr>
      <w:r>
        <w:rPr>
          <w:rFonts w:ascii="Arial" w:cs="Arial" w:eastAsia="Arial" w:hAnsi="Arial"/>
          <w:b w:val="false"/>
          <w:bCs w:val="false"/>
          <w:color w:val="1A1A1A"/>
          <w:sz w:val="20"/>
          <w:szCs w:val="20"/>
        </w:rPr>
        <w:t xml:space="preserve">Whether credible fear interview was conducted</w:t>
      </w:r>
    </w:p>
    <w:p>
      <w:pPr>
        <w:pStyle w:val="ListParagraph"/>
        <w:numPr>
          <w:ilvl w:val="0"/>
          <w:numId w:val="2"/>
        </w:numPr>
        <w:spacing w:after="40"/>
      </w:pPr>
      <w:r>
        <w:rPr>
          <w:rFonts w:ascii="Arial" w:cs="Arial" w:eastAsia="Arial" w:hAnsi="Arial"/>
          <w:b w:val="false"/>
          <w:bCs w:val="false"/>
          <w:color w:val="1A1A1A"/>
          <w:sz w:val="20"/>
          <w:szCs w:val="20"/>
        </w:rPr>
        <w:t xml:space="preserve">Current immigration court and case number</w:t>
      </w:r>
    </w:p>
    <w:p>
      <w:pPr>
        <w:pStyle w:val="ListParagraph"/>
        <w:numPr>
          <w:ilvl w:val="0"/>
          <w:numId w:val="2"/>
        </w:numPr>
        <w:spacing w:after="40"/>
      </w:pPr>
      <w:r>
        <w:rPr>
          <w:rFonts w:ascii="Arial" w:cs="Arial" w:eastAsia="Arial" w:hAnsi="Arial"/>
          <w:b w:val="false"/>
          <w:bCs w:val="false"/>
          <w:color w:val="1A1A1A"/>
          <w:sz w:val="20"/>
          <w:szCs w:val="20"/>
        </w:rPr>
        <w:t xml:space="preserve">Whether any prior attorney was consulted</w:t>
      </w:r>
    </w:p>
    <w:p>
      <w:pPr>
        <w:pStyle w:val="ListParagraph"/>
        <w:numPr>
          <w:ilvl w:val="0"/>
          <w:numId w:val="2"/>
        </w:numPr>
        <w:spacing w:after="40"/>
      </w:pPr>
      <w:r>
        <w:rPr>
          <w:rFonts w:ascii="Arial" w:cs="Arial" w:eastAsia="Arial" w:hAnsi="Arial"/>
          <w:b w:val="false"/>
          <w:bCs w:val="false"/>
          <w:color w:val="1A1A1A"/>
          <w:sz w:val="20"/>
          <w:szCs w:val="20"/>
        </w:rPr>
        <w:t xml:space="preserve">Any prior U.S. immigration filings</w:t>
      </w:r>
    </w:p>
    <w:p>
      <w:pPr>
        <w:spacing w:after="80"/>
      </w:pPr>
      <w:r>
        <w:t xml:space="preserve"/>
      </w:r>
    </w:p>
    <w:p>
      <w:pPr>
        <w:spacing w:after="60" w:before="160"/>
      </w:pPr>
      <w:r>
        <w:rPr>
          <w:rFonts w:ascii="Arial" w:cs="Arial" w:eastAsia="Arial" w:hAnsi="Arial"/>
          <w:b/>
          <w:bCs/>
          <w:color w:val="1A1A1A"/>
          <w:sz w:val="22"/>
          <w:szCs w:val="22"/>
          <w:u w:val="single"/>
        </w:rPr>
        <w:t xml:space="preserve">Family Information</w:t>
      </w:r>
    </w:p>
    <w:p>
      <w:pPr>
        <w:pStyle w:val="ListParagraph"/>
        <w:numPr>
          <w:ilvl w:val="0"/>
          <w:numId w:val="2"/>
        </w:numPr>
        <w:spacing w:after="40"/>
      </w:pPr>
      <w:r>
        <w:rPr>
          <w:rFonts w:ascii="Arial" w:cs="Arial" w:eastAsia="Arial" w:hAnsi="Arial"/>
          <w:b w:val="false"/>
          <w:bCs w:val="false"/>
          <w:color w:val="1A1A1A"/>
          <w:sz w:val="20"/>
          <w:szCs w:val="20"/>
        </w:rPr>
        <w:t xml:space="preserve">Son's full name and date of birth</w:t>
      </w:r>
    </w:p>
    <w:p>
      <w:pPr>
        <w:pStyle w:val="ListParagraph"/>
        <w:numPr>
          <w:ilvl w:val="0"/>
          <w:numId w:val="2"/>
        </w:numPr>
        <w:spacing w:after="40"/>
      </w:pPr>
      <w:r>
        <w:rPr>
          <w:rFonts w:ascii="Arial" w:cs="Arial" w:eastAsia="Arial" w:hAnsi="Arial"/>
          <w:b w:val="false"/>
          <w:bCs w:val="false"/>
          <w:color w:val="1A1A1A"/>
          <w:sz w:val="20"/>
          <w:szCs w:val="20"/>
        </w:rPr>
        <w:t xml:space="preserve">Son's immigration status and NTA status</w:t>
      </w:r>
    </w:p>
    <w:p>
      <w:pPr>
        <w:pStyle w:val="ListParagraph"/>
        <w:numPr>
          <w:ilvl w:val="0"/>
          <w:numId w:val="2"/>
        </w:numPr>
        <w:spacing w:after="40"/>
      </w:pPr>
      <w:r>
        <w:rPr>
          <w:rFonts w:ascii="Arial" w:cs="Arial" w:eastAsia="Arial" w:hAnsi="Arial"/>
          <w:b w:val="false"/>
          <w:bCs w:val="false"/>
          <w:color w:val="1A1A1A"/>
          <w:sz w:val="20"/>
          <w:szCs w:val="20"/>
        </w:rPr>
        <w:t xml:space="preserve">Father of child — location, involvement, any threats</w:t>
      </w:r>
    </w:p>
    <w:p>
      <w:pPr>
        <w:pStyle w:val="ListParagraph"/>
        <w:numPr>
          <w:ilvl w:val="0"/>
          <w:numId w:val="2"/>
        </w:numPr>
        <w:spacing w:after="40"/>
      </w:pPr>
      <w:r>
        <w:rPr>
          <w:rFonts w:ascii="Arial" w:cs="Arial" w:eastAsia="Arial" w:hAnsi="Arial"/>
          <w:b w:val="false"/>
          <w:bCs w:val="false"/>
          <w:color w:val="1A1A1A"/>
          <w:sz w:val="20"/>
          <w:szCs w:val="20"/>
        </w:rPr>
        <w:t xml:space="preserve">Family members remaining in Venezuela and their current safety</w:t>
      </w:r>
    </w:p>
    <w:p>
      <w:pPr>
        <w:spacing w:after="80"/>
      </w:pPr>
      <w:r>
        <w:t xml:space="preserve"/>
      </w:r>
    </w:p>
    <w:p>
      <w:pPr>
        <w:spacing w:after="60" w:before="160"/>
      </w:pPr>
      <w:r>
        <w:rPr>
          <w:rFonts w:ascii="Arial" w:cs="Arial" w:eastAsia="Arial" w:hAnsi="Arial"/>
          <w:b/>
          <w:bCs/>
          <w:color w:val="1A1A1A"/>
          <w:sz w:val="22"/>
          <w:szCs w:val="22"/>
          <w:u w:val="single"/>
        </w:rPr>
        <w:t xml:space="preserve">Evidence &amp; Corroboration</w:t>
      </w:r>
    </w:p>
    <w:p>
      <w:pPr>
        <w:pStyle w:val="ListParagraph"/>
        <w:numPr>
          <w:ilvl w:val="0"/>
          <w:numId w:val="2"/>
        </w:numPr>
        <w:spacing w:after="40"/>
      </w:pPr>
      <w:r>
        <w:rPr>
          <w:rFonts w:ascii="Arial" w:cs="Arial" w:eastAsia="Arial" w:hAnsi="Arial"/>
          <w:b w:val="false"/>
          <w:bCs w:val="false"/>
          <w:color w:val="1A1A1A"/>
          <w:sz w:val="20"/>
          <w:szCs w:val="20"/>
        </w:rPr>
        <w:t xml:space="preserve">WhatsApp screenshots — accessible and in what format?</w:t>
      </w:r>
    </w:p>
    <w:p>
      <w:pPr>
        <w:pStyle w:val="ListParagraph"/>
        <w:numPr>
          <w:ilvl w:val="0"/>
          <w:numId w:val="2"/>
        </w:numPr>
        <w:spacing w:after="40"/>
      </w:pPr>
      <w:r>
        <w:rPr>
          <w:rFonts w:ascii="Arial" w:cs="Arial" w:eastAsia="Arial" w:hAnsi="Arial"/>
          <w:b w:val="false"/>
          <w:bCs w:val="false"/>
          <w:color w:val="1A1A1A"/>
          <w:sz w:val="20"/>
          <w:szCs w:val="20"/>
        </w:rPr>
        <w:t xml:space="preserve">Photos from demonstrations</w:t>
      </w:r>
    </w:p>
    <w:p>
      <w:pPr>
        <w:pStyle w:val="ListParagraph"/>
        <w:numPr>
          <w:ilvl w:val="0"/>
          <w:numId w:val="2"/>
        </w:numPr>
        <w:spacing w:after="40"/>
      </w:pPr>
      <w:r>
        <w:rPr>
          <w:rFonts w:ascii="Arial" w:cs="Arial" w:eastAsia="Arial" w:hAnsi="Arial"/>
          <w:b w:val="false"/>
          <w:bCs w:val="false"/>
          <w:color w:val="1A1A1A"/>
          <w:sz w:val="20"/>
          <w:szCs w:val="20"/>
        </w:rPr>
        <w:t xml:space="preserve">Potential witnesses to threats</w:t>
      </w:r>
    </w:p>
    <w:p>
      <w:pPr>
        <w:pStyle w:val="ListParagraph"/>
        <w:numPr>
          <w:ilvl w:val="0"/>
          <w:numId w:val="2"/>
        </w:numPr>
        <w:spacing w:after="40"/>
      </w:pPr>
      <w:r>
        <w:rPr>
          <w:rFonts w:ascii="Arial" w:cs="Arial" w:eastAsia="Arial" w:hAnsi="Arial"/>
          <w:b w:val="false"/>
          <w:bCs w:val="false"/>
          <w:color w:val="1A1A1A"/>
          <w:sz w:val="20"/>
          <w:szCs w:val="20"/>
        </w:rPr>
        <w:t xml:space="preserve">News coverage of political activity client participated in</w:t>
      </w:r>
    </w:p>
    <w:p>
      <w:pPr>
        <w:spacing w:after="80"/>
      </w:pPr>
      <w:r>
        <w:t xml:space="preserve"/>
      </w:r>
    </w:p>
    <w:p>
      <w:pPr>
        <w:spacing w:after="60" w:before="160"/>
      </w:pPr>
      <w:r>
        <w:rPr>
          <w:rFonts w:ascii="Arial" w:cs="Arial" w:eastAsia="Arial" w:hAnsi="Arial"/>
          <w:b/>
          <w:bCs/>
          <w:color w:val="1A1A1A"/>
          <w:sz w:val="22"/>
          <w:szCs w:val="22"/>
          <w:u w:val="single"/>
        </w:rPr>
        <w:t xml:space="preserve">Medical / Psychological Information</w:t>
      </w:r>
    </w:p>
    <w:p>
      <w:pPr>
        <w:pStyle w:val="ListParagraph"/>
        <w:numPr>
          <w:ilvl w:val="0"/>
          <w:numId w:val="2"/>
        </w:numPr>
        <w:spacing w:after="40"/>
      </w:pPr>
      <w:r>
        <w:rPr>
          <w:rFonts w:ascii="Arial" w:cs="Arial" w:eastAsia="Arial" w:hAnsi="Arial"/>
          <w:b w:val="false"/>
          <w:bCs w:val="false"/>
          <w:color w:val="1A1A1A"/>
          <w:sz w:val="20"/>
          <w:szCs w:val="20"/>
        </w:rPr>
        <w:t xml:space="preserve">Any injuries sustained</w:t>
      </w:r>
    </w:p>
    <w:p>
      <w:pPr>
        <w:pStyle w:val="ListParagraph"/>
        <w:numPr>
          <w:ilvl w:val="0"/>
          <w:numId w:val="2"/>
        </w:numPr>
        <w:spacing w:after="40"/>
      </w:pPr>
      <w:r>
        <w:rPr>
          <w:rFonts w:ascii="Arial" w:cs="Arial" w:eastAsia="Arial" w:hAnsi="Arial"/>
          <w:b w:val="false"/>
          <w:bCs w:val="false"/>
          <w:color w:val="1A1A1A"/>
          <w:sz w:val="20"/>
          <w:szCs w:val="20"/>
        </w:rPr>
        <w:t xml:space="preserve">Current mental health status — distress noted at intake</w:t>
      </w:r>
    </w:p>
    <w:p>
      <w:pPr>
        <w:pStyle w:val="ListParagraph"/>
        <w:numPr>
          <w:ilvl w:val="0"/>
          <w:numId w:val="2"/>
        </w:numPr>
        <w:spacing w:after="40"/>
      </w:pPr>
      <w:r>
        <w:rPr>
          <w:rFonts w:ascii="Arial" w:cs="Arial" w:eastAsia="Arial" w:hAnsi="Arial"/>
          <w:b w:val="false"/>
          <w:bCs w:val="false"/>
          <w:color w:val="1A1A1A"/>
          <w:sz w:val="20"/>
          <w:szCs w:val="20"/>
        </w:rPr>
        <w:t xml:space="preserve">Whether psychological evaluation has been or should be sought</w:t>
      </w:r>
    </w:p>
    <w:p>
      <w:pPr>
        <w:spacing w:after="80"/>
      </w:pPr>
      <w:r>
        <w:t xml:space="preserve"/>
      </w:r>
    </w:p>
    <w:p>
      <w:pPr>
        <w:spacing w:after="60" w:before="160"/>
      </w:pPr>
      <w:r>
        <w:rPr>
          <w:rFonts w:ascii="Arial" w:cs="Arial" w:eastAsia="Arial" w:hAnsi="Arial"/>
          <w:b/>
          <w:bCs/>
          <w:color w:val="1A1A1A"/>
          <w:sz w:val="22"/>
          <w:szCs w:val="22"/>
          <w:u w:val="single"/>
        </w:rPr>
        <w:t xml:space="preserve">Court or Detention Information</w:t>
      </w:r>
    </w:p>
    <w:p>
      <w:pPr>
        <w:pStyle w:val="ListParagraph"/>
        <w:numPr>
          <w:ilvl w:val="0"/>
          <w:numId w:val="2"/>
        </w:numPr>
        <w:spacing w:after="40"/>
      </w:pPr>
      <w:r>
        <w:rPr>
          <w:rFonts w:ascii="Arial" w:cs="Arial" w:eastAsia="Arial" w:hAnsi="Arial"/>
          <w:b w:val="false"/>
          <w:bCs w:val="false"/>
          <w:color w:val="1A1A1A"/>
          <w:sz w:val="20"/>
          <w:szCs w:val="20"/>
        </w:rPr>
        <w:t xml:space="preserve">Copy of NTA</w:t>
      </w:r>
    </w:p>
    <w:p>
      <w:pPr>
        <w:pStyle w:val="ListParagraph"/>
        <w:numPr>
          <w:ilvl w:val="0"/>
          <w:numId w:val="2"/>
        </w:numPr>
        <w:spacing w:after="40"/>
      </w:pPr>
      <w:r>
        <w:rPr>
          <w:rFonts w:ascii="Arial" w:cs="Arial" w:eastAsia="Arial" w:hAnsi="Arial"/>
          <w:b w:val="false"/>
          <w:bCs w:val="false"/>
          <w:color w:val="1A1A1A"/>
          <w:sz w:val="20"/>
          <w:szCs w:val="20"/>
        </w:rPr>
        <w:t xml:space="preserve">Immigration court location and case number</w:t>
      </w:r>
    </w:p>
    <w:p>
      <w:pPr>
        <w:pStyle w:val="ListParagraph"/>
        <w:numPr>
          <w:ilvl w:val="0"/>
          <w:numId w:val="2"/>
        </w:numPr>
        <w:spacing w:after="40"/>
      </w:pPr>
      <w:r>
        <w:rPr>
          <w:rFonts w:ascii="Arial" w:cs="Arial" w:eastAsia="Arial" w:hAnsi="Arial"/>
          <w:b w:val="false"/>
          <w:bCs w:val="false"/>
          <w:color w:val="1A1A1A"/>
          <w:sz w:val="20"/>
          <w:szCs w:val="20"/>
        </w:rPr>
        <w:t xml:space="preserve">Master hearing exact date</w:t>
      </w:r>
    </w:p>
    <w:p>
      <w:pPr>
        <w:pStyle w:val="ListParagraph"/>
        <w:numPr>
          <w:ilvl w:val="0"/>
          <w:numId w:val="2"/>
        </w:numPr>
        <w:spacing w:after="40"/>
      </w:pPr>
      <w:r>
        <w:rPr>
          <w:rFonts w:ascii="Arial" w:cs="Arial" w:eastAsia="Arial" w:hAnsi="Arial"/>
          <w:b w:val="false"/>
          <w:bCs w:val="false"/>
          <w:color w:val="1A1A1A"/>
          <w:sz w:val="20"/>
          <w:szCs w:val="20"/>
        </w:rPr>
        <w:t xml:space="preserve">Prior hearing appearances</w:t>
      </w:r>
    </w:p>
    <w:p>
      <w:pPr>
        <w:pStyle w:val="ListParagraph"/>
        <w:numPr>
          <w:ilvl w:val="0"/>
          <w:numId w:val="2"/>
        </w:numPr>
        <w:spacing w:after="40"/>
      </w:pPr>
      <w:r>
        <w:rPr>
          <w:rFonts w:ascii="Arial" w:cs="Arial" w:eastAsia="Arial" w:hAnsi="Arial"/>
          <w:b w:val="false"/>
          <w:bCs w:val="false"/>
          <w:color w:val="1A1A1A"/>
          <w:sz w:val="20"/>
          <w:szCs w:val="20"/>
        </w:rPr>
        <w:t xml:space="preserve">Whether client has legal representation for the hearing</w:t>
      </w:r>
    </w:p>
    <w:p>
      <w:pPr>
        <w:spacing w:after="80"/>
      </w:pPr>
      <w:r>
        <w:t xml:space="preserve"/>
      </w:r>
    </w:p>
    <w:p>
      <w:pPr>
        <w:pStyle w:val="Heading1"/>
        <w:spacing w:after="120" w:before="320"/>
      </w:pPr>
      <w:r>
        <w:rPr>
          <w:rFonts w:ascii="Arial" w:cs="Arial" w:eastAsia="Arial" w:hAnsi="Arial"/>
          <w:b/>
          <w:bCs/>
          <w:color w:val="1F3864"/>
          <w:sz w:val="28"/>
          <w:szCs w:val="28"/>
        </w:rPr>
        <w:t xml:space="preserve">6. Preliminary Evidence Checklist</w:t>
      </w:r>
    </w:p>
    <w:p>
      <w:pPr>
        <w:spacing w:after="60" w:before="160"/>
      </w:pPr>
      <w:r>
        <w:rPr>
          <w:rFonts w:ascii="Arial" w:cs="Arial" w:eastAsia="Arial" w:hAnsi="Arial"/>
          <w:b/>
          <w:bCs/>
          <w:color w:val="1A1A1A"/>
          <w:sz w:val="22"/>
          <w:szCs w:val="22"/>
          <w:u w:val="single"/>
        </w:rPr>
        <w:t xml:space="preserve">Identity Documents</w:t>
      </w:r>
    </w:p>
    <w:p>
      <w:pPr>
        <w:pStyle w:val="ListParagraph"/>
        <w:numPr>
          <w:ilvl w:val="0"/>
          <w:numId w:val="2"/>
        </w:numPr>
        <w:spacing w:after="40"/>
      </w:pPr>
      <w:r>
        <w:rPr>
          <w:rFonts w:ascii="Arial" w:cs="Arial" w:eastAsia="Arial" w:hAnsi="Arial"/>
          <w:b w:val="false"/>
          <w:bCs w:val="false"/>
          <w:color w:val="1A1A1A"/>
          <w:sz w:val="20"/>
          <w:szCs w:val="20"/>
        </w:rPr>
        <w:t xml:space="preserve">Passport (Venezuelan)</w:t>
      </w:r>
    </w:p>
    <w:p>
      <w:pPr>
        <w:pStyle w:val="ListParagraph"/>
        <w:numPr>
          <w:ilvl w:val="0"/>
          <w:numId w:val="2"/>
        </w:numPr>
        <w:spacing w:after="40"/>
      </w:pPr>
      <w:r>
        <w:rPr>
          <w:rFonts w:ascii="Arial" w:cs="Arial" w:eastAsia="Arial" w:hAnsi="Arial"/>
          <w:b w:val="false"/>
          <w:bCs w:val="false"/>
          <w:color w:val="1A1A1A"/>
          <w:sz w:val="20"/>
          <w:szCs w:val="20"/>
        </w:rPr>
        <w:t xml:space="preserve">National ID (cédula)</w:t>
      </w:r>
    </w:p>
    <w:p>
      <w:pPr>
        <w:pStyle w:val="ListParagraph"/>
        <w:numPr>
          <w:ilvl w:val="0"/>
          <w:numId w:val="2"/>
        </w:numPr>
        <w:spacing w:after="40"/>
      </w:pPr>
      <w:r>
        <w:rPr>
          <w:rFonts w:ascii="Arial" w:cs="Arial" w:eastAsia="Arial" w:hAnsi="Arial"/>
          <w:b w:val="false"/>
          <w:bCs w:val="false"/>
          <w:color w:val="1A1A1A"/>
          <w:sz w:val="20"/>
          <w:szCs w:val="20"/>
        </w:rPr>
        <w:t xml:space="preserve">Birth certificate — client and son</w:t>
      </w:r>
    </w:p>
    <w:p>
      <w:pPr>
        <w:pStyle w:val="ListParagraph"/>
        <w:numPr>
          <w:ilvl w:val="0"/>
          <w:numId w:val="2"/>
        </w:numPr>
        <w:spacing w:after="40"/>
      </w:pPr>
      <w:r>
        <w:rPr>
          <w:rFonts w:ascii="Arial" w:cs="Arial" w:eastAsia="Arial" w:hAnsi="Arial"/>
          <w:b w:val="false"/>
          <w:bCs w:val="false"/>
          <w:color w:val="1A1A1A"/>
          <w:sz w:val="20"/>
          <w:szCs w:val="20"/>
        </w:rPr>
        <w:t xml:space="preserve">Son's passport or ID if available</w:t>
      </w:r>
    </w:p>
    <w:p>
      <w:pPr>
        <w:spacing w:after="80"/>
      </w:pPr>
      <w:r>
        <w:t xml:space="preserve"/>
      </w:r>
    </w:p>
    <w:p>
      <w:pPr>
        <w:spacing w:after="60" w:before="160"/>
      </w:pPr>
      <w:r>
        <w:rPr>
          <w:rFonts w:ascii="Arial" w:cs="Arial" w:eastAsia="Arial" w:hAnsi="Arial"/>
          <w:b/>
          <w:bCs/>
          <w:color w:val="1A1A1A"/>
          <w:sz w:val="22"/>
          <w:szCs w:val="22"/>
          <w:u w:val="single"/>
        </w:rPr>
        <w:t xml:space="preserve">Immigration Documents</w:t>
      </w:r>
    </w:p>
    <w:p>
      <w:pPr>
        <w:pStyle w:val="ListParagraph"/>
        <w:numPr>
          <w:ilvl w:val="0"/>
          <w:numId w:val="2"/>
        </w:numPr>
        <w:spacing w:after="40"/>
      </w:pPr>
      <w:r>
        <w:rPr>
          <w:rFonts w:ascii="Arial" w:cs="Arial" w:eastAsia="Arial" w:hAnsi="Arial"/>
          <w:b w:val="false"/>
          <w:bCs w:val="false"/>
          <w:color w:val="1A1A1A"/>
          <w:sz w:val="20"/>
          <w:szCs w:val="20"/>
        </w:rPr>
        <w:t xml:space="preserve">Copy of Notice to Appear</w:t>
      </w:r>
    </w:p>
    <w:p>
      <w:pPr>
        <w:pStyle w:val="ListParagraph"/>
        <w:numPr>
          <w:ilvl w:val="0"/>
          <w:numId w:val="2"/>
        </w:numPr>
        <w:spacing w:after="40"/>
      </w:pPr>
      <w:r>
        <w:rPr>
          <w:rFonts w:ascii="Arial" w:cs="Arial" w:eastAsia="Arial" w:hAnsi="Arial"/>
          <w:b w:val="false"/>
          <w:bCs w:val="false"/>
          <w:color w:val="1A1A1A"/>
          <w:sz w:val="20"/>
          <w:szCs w:val="20"/>
        </w:rPr>
        <w:t xml:space="preserve">I-94 or entry records if available</w:t>
      </w:r>
    </w:p>
    <w:p>
      <w:pPr>
        <w:pStyle w:val="ListParagraph"/>
        <w:numPr>
          <w:ilvl w:val="0"/>
          <w:numId w:val="2"/>
        </w:numPr>
        <w:spacing w:after="40"/>
      </w:pPr>
      <w:r>
        <w:rPr>
          <w:rFonts w:ascii="Arial" w:cs="Arial" w:eastAsia="Arial" w:hAnsi="Arial"/>
          <w:b w:val="false"/>
          <w:bCs w:val="false"/>
          <w:color w:val="1A1A1A"/>
          <w:sz w:val="20"/>
          <w:szCs w:val="20"/>
        </w:rPr>
        <w:t xml:space="preserve">Any prior USCIS or immigration court correspondence</w:t>
      </w:r>
    </w:p>
    <w:p>
      <w:pPr>
        <w:spacing w:after="80"/>
      </w:pPr>
      <w:r>
        <w:t xml:space="preserve"/>
      </w:r>
    </w:p>
    <w:p>
      <w:pPr>
        <w:spacing w:after="60" w:before="160"/>
      </w:pPr>
      <w:r>
        <w:rPr>
          <w:rFonts w:ascii="Arial" w:cs="Arial" w:eastAsia="Arial" w:hAnsi="Arial"/>
          <w:b/>
          <w:bCs/>
          <w:color w:val="1A1A1A"/>
          <w:sz w:val="22"/>
          <w:szCs w:val="22"/>
          <w:u w:val="single"/>
        </w:rPr>
        <w:t xml:space="preserve">Country Conditions Evidence</w:t>
      </w:r>
    </w:p>
    <w:p>
      <w:pPr>
        <w:pStyle w:val="ListParagraph"/>
        <w:numPr>
          <w:ilvl w:val="0"/>
          <w:numId w:val="2"/>
        </w:numPr>
        <w:spacing w:after="40"/>
      </w:pPr>
      <w:r>
        <w:rPr>
          <w:rFonts w:ascii="Arial" w:cs="Arial" w:eastAsia="Arial" w:hAnsi="Arial"/>
          <w:b w:val="false"/>
          <w:bCs w:val="false"/>
          <w:color w:val="1A1A1A"/>
          <w:sz w:val="20"/>
          <w:szCs w:val="20"/>
        </w:rPr>
        <w:t xml:space="preserve">U.S. State Department Country Report on Venezuela (current)</w:t>
      </w:r>
    </w:p>
    <w:p>
      <w:pPr>
        <w:pStyle w:val="ListParagraph"/>
        <w:numPr>
          <w:ilvl w:val="0"/>
          <w:numId w:val="2"/>
        </w:numPr>
        <w:spacing w:after="40"/>
      </w:pPr>
      <w:r>
        <w:rPr>
          <w:rFonts w:ascii="Arial" w:cs="Arial" w:eastAsia="Arial" w:hAnsi="Arial"/>
          <w:b w:val="false"/>
          <w:bCs w:val="false"/>
          <w:color w:val="1A1A1A"/>
          <w:sz w:val="20"/>
          <w:szCs w:val="20"/>
        </w:rPr>
        <w:t xml:space="preserve">UNHCR guidance on Venezuelan asylum claims</w:t>
      </w:r>
    </w:p>
    <w:p>
      <w:pPr>
        <w:pStyle w:val="ListParagraph"/>
        <w:numPr>
          <w:ilvl w:val="0"/>
          <w:numId w:val="2"/>
        </w:numPr>
        <w:spacing w:after="40"/>
      </w:pPr>
      <w:r>
        <w:rPr>
          <w:rFonts w:ascii="Arial" w:cs="Arial" w:eastAsia="Arial" w:hAnsi="Arial"/>
          <w:b w:val="false"/>
          <w:bCs w:val="false"/>
          <w:color w:val="1A1A1A"/>
          <w:sz w:val="20"/>
          <w:szCs w:val="20"/>
        </w:rPr>
        <w:t xml:space="preserve">Documented reports on political persecution in Venezuela</w:t>
      </w:r>
    </w:p>
    <w:p>
      <w:pPr>
        <w:pStyle w:val="ListParagraph"/>
        <w:numPr>
          <w:ilvl w:val="0"/>
          <w:numId w:val="2"/>
        </w:numPr>
        <w:spacing w:after="40"/>
      </w:pPr>
      <w:r>
        <w:rPr>
          <w:rFonts w:ascii="Arial" w:cs="Arial" w:eastAsia="Arial" w:hAnsi="Arial"/>
          <w:b w:val="false"/>
          <w:bCs w:val="false"/>
          <w:color w:val="1A1A1A"/>
          <w:sz w:val="20"/>
          <w:szCs w:val="20"/>
        </w:rPr>
        <w:t xml:space="preserve">Reports on paramilitary/government-linked groups</w:t>
      </w:r>
    </w:p>
    <w:p>
      <w:pPr>
        <w:spacing w:after="80"/>
      </w:pPr>
      <w:r>
        <w:t xml:space="preserve"/>
      </w:r>
    </w:p>
    <w:p>
      <w:pPr>
        <w:spacing w:after="60" w:before="160"/>
      </w:pPr>
      <w:r>
        <w:rPr>
          <w:rFonts w:ascii="Arial" w:cs="Arial" w:eastAsia="Arial" w:hAnsi="Arial"/>
          <w:b/>
          <w:bCs/>
          <w:color w:val="1A1A1A"/>
          <w:sz w:val="22"/>
          <w:szCs w:val="22"/>
          <w:u w:val="single"/>
        </w:rPr>
        <w:t xml:space="preserve">Personal Supporting Evidence</w:t>
      </w:r>
    </w:p>
    <w:p>
      <w:pPr>
        <w:pStyle w:val="ListParagraph"/>
        <w:numPr>
          <w:ilvl w:val="0"/>
          <w:numId w:val="2"/>
        </w:numPr>
        <w:spacing w:after="40"/>
      </w:pPr>
      <w:r>
        <w:rPr>
          <w:rFonts w:ascii="Arial" w:cs="Arial" w:eastAsia="Arial" w:hAnsi="Arial"/>
          <w:b w:val="false"/>
          <w:bCs w:val="false"/>
          <w:color w:val="1A1A1A"/>
          <w:sz w:val="20"/>
          <w:szCs w:val="20"/>
        </w:rPr>
        <w:t xml:space="preserve">WhatsApp threat screenshots (with metadata if available)</w:t>
      </w:r>
    </w:p>
    <w:p>
      <w:pPr>
        <w:pStyle w:val="ListParagraph"/>
        <w:numPr>
          <w:ilvl w:val="0"/>
          <w:numId w:val="2"/>
        </w:numPr>
        <w:spacing w:after="40"/>
      </w:pPr>
      <w:r>
        <w:rPr>
          <w:rFonts w:ascii="Arial" w:cs="Arial" w:eastAsia="Arial" w:hAnsi="Arial"/>
          <w:b w:val="false"/>
          <w:bCs w:val="false"/>
          <w:color w:val="1A1A1A"/>
          <w:sz w:val="20"/>
          <w:szCs w:val="20"/>
        </w:rPr>
        <w:t xml:space="preserve">Photos from demonstrations</w:t>
      </w:r>
    </w:p>
    <w:p>
      <w:pPr>
        <w:pStyle w:val="ListParagraph"/>
        <w:numPr>
          <w:ilvl w:val="0"/>
          <w:numId w:val="2"/>
        </w:numPr>
        <w:spacing w:after="40"/>
      </w:pPr>
      <w:r>
        <w:rPr>
          <w:rFonts w:ascii="Arial" w:cs="Arial" w:eastAsia="Arial" w:hAnsi="Arial"/>
          <w:b w:val="false"/>
          <w:bCs w:val="false"/>
          <w:color w:val="1A1A1A"/>
          <w:sz w:val="20"/>
          <w:szCs w:val="20"/>
        </w:rPr>
        <w:t xml:space="preserve">Any written communications threatening client</w:t>
      </w:r>
    </w:p>
    <w:p>
      <w:pPr>
        <w:pStyle w:val="ListParagraph"/>
        <w:numPr>
          <w:ilvl w:val="0"/>
          <w:numId w:val="2"/>
        </w:numPr>
        <w:spacing w:after="40"/>
      </w:pPr>
      <w:r>
        <w:rPr>
          <w:rFonts w:ascii="Arial" w:cs="Arial" w:eastAsia="Arial" w:hAnsi="Arial"/>
          <w:b w:val="false"/>
          <w:bCs w:val="false"/>
          <w:color w:val="1A1A1A"/>
          <w:sz w:val="20"/>
          <w:szCs w:val="20"/>
        </w:rPr>
        <w:t xml:space="preserve">Evidence of political activity (membership, social media, group affiliation)</w:t>
      </w:r>
    </w:p>
    <w:p>
      <w:pPr>
        <w:spacing w:after="80"/>
      </w:pPr>
      <w:r>
        <w:t xml:space="preserve"/>
      </w:r>
    </w:p>
    <w:p>
      <w:pPr>
        <w:spacing w:after="60" w:before="160"/>
      </w:pPr>
      <w:r>
        <w:rPr>
          <w:rFonts w:ascii="Arial" w:cs="Arial" w:eastAsia="Arial" w:hAnsi="Arial"/>
          <w:b/>
          <w:bCs/>
          <w:color w:val="1A1A1A"/>
          <w:sz w:val="22"/>
          <w:szCs w:val="22"/>
          <w:u w:val="single"/>
        </w:rPr>
        <w:t xml:space="preserve">Witness Evidence</w:t>
      </w:r>
    </w:p>
    <w:p>
      <w:pPr>
        <w:pStyle w:val="ListParagraph"/>
        <w:numPr>
          <w:ilvl w:val="0"/>
          <w:numId w:val="2"/>
        </w:numPr>
        <w:spacing w:after="40"/>
      </w:pPr>
      <w:r>
        <w:rPr>
          <w:rFonts w:ascii="Arial" w:cs="Arial" w:eastAsia="Arial" w:hAnsi="Arial"/>
          <w:b w:val="false"/>
          <w:bCs w:val="false"/>
          <w:color w:val="1A1A1A"/>
          <w:sz w:val="20"/>
          <w:szCs w:val="20"/>
        </w:rPr>
        <w:t xml:space="preserve">Statements from coworkers who witnessed workplace incident</w:t>
      </w:r>
    </w:p>
    <w:p>
      <w:pPr>
        <w:pStyle w:val="ListParagraph"/>
        <w:numPr>
          <w:ilvl w:val="0"/>
          <w:numId w:val="2"/>
        </w:numPr>
        <w:spacing w:after="40"/>
      </w:pPr>
      <w:r>
        <w:rPr>
          <w:rFonts w:ascii="Arial" w:cs="Arial" w:eastAsia="Arial" w:hAnsi="Arial"/>
          <w:b w:val="false"/>
          <w:bCs w:val="false"/>
          <w:color w:val="1A1A1A"/>
          <w:sz w:val="20"/>
          <w:szCs w:val="20"/>
        </w:rPr>
        <w:t xml:space="preserve">Statements from family or friends aware of threats</w:t>
      </w:r>
    </w:p>
    <w:p>
      <w:pPr>
        <w:pStyle w:val="ListParagraph"/>
        <w:numPr>
          <w:ilvl w:val="0"/>
          <w:numId w:val="2"/>
        </w:numPr>
        <w:spacing w:after="40"/>
      </w:pPr>
      <w:r>
        <w:rPr>
          <w:rFonts w:ascii="Arial" w:cs="Arial" w:eastAsia="Arial" w:hAnsi="Arial"/>
          <w:b w:val="false"/>
          <w:bCs w:val="false"/>
          <w:color w:val="1A1A1A"/>
          <w:sz w:val="20"/>
          <w:szCs w:val="20"/>
        </w:rPr>
        <w:t xml:space="preserve">Any witnesses to demonstration participation</w:t>
      </w:r>
    </w:p>
    <w:p>
      <w:pPr>
        <w:spacing w:after="80"/>
      </w:pPr>
      <w:r>
        <w:t xml:space="preserve"/>
      </w:r>
    </w:p>
    <w:p>
      <w:pPr>
        <w:spacing w:after="60" w:before="160"/>
      </w:pPr>
      <w:r>
        <w:rPr>
          <w:rFonts w:ascii="Arial" w:cs="Arial" w:eastAsia="Arial" w:hAnsi="Arial"/>
          <w:b/>
          <w:bCs/>
          <w:color w:val="1A1A1A"/>
          <w:sz w:val="22"/>
          <w:szCs w:val="22"/>
          <w:u w:val="single"/>
        </w:rPr>
        <w:t xml:space="preserve">Medical / Psychological Evidence</w:t>
      </w:r>
    </w:p>
    <w:p>
      <w:pPr>
        <w:pStyle w:val="ListParagraph"/>
        <w:numPr>
          <w:ilvl w:val="0"/>
          <w:numId w:val="2"/>
        </w:numPr>
        <w:spacing w:after="40"/>
      </w:pPr>
      <w:r>
        <w:rPr>
          <w:rFonts w:ascii="Arial" w:cs="Arial" w:eastAsia="Arial" w:hAnsi="Arial"/>
          <w:b w:val="false"/>
          <w:bCs w:val="false"/>
          <w:color w:val="1A1A1A"/>
          <w:sz w:val="20"/>
          <w:szCs w:val="20"/>
        </w:rPr>
        <w:t xml:space="preserve">Psychological evaluation or letter from mental health provider</w:t>
      </w:r>
    </w:p>
    <w:p>
      <w:pPr>
        <w:pStyle w:val="ListParagraph"/>
        <w:numPr>
          <w:ilvl w:val="0"/>
          <w:numId w:val="2"/>
        </w:numPr>
        <w:spacing w:after="40"/>
      </w:pPr>
      <w:r>
        <w:rPr>
          <w:rFonts w:ascii="Arial" w:cs="Arial" w:eastAsia="Arial" w:hAnsi="Arial"/>
          <w:b w:val="false"/>
          <w:bCs w:val="false"/>
          <w:color w:val="1A1A1A"/>
          <w:sz w:val="20"/>
          <w:szCs w:val="20"/>
        </w:rPr>
        <w:t xml:space="preserve">Medical records if physical harm occurred</w:t>
      </w:r>
    </w:p>
    <w:p>
      <w:pPr>
        <w:spacing w:after="80"/>
      </w:pPr>
      <w:r>
        <w:t xml:space="preserve"/>
      </w:r>
    </w:p>
    <w:p>
      <w:pPr>
        <w:spacing w:after="60" w:before="160"/>
      </w:pPr>
      <w:r>
        <w:rPr>
          <w:rFonts w:ascii="Arial" w:cs="Arial" w:eastAsia="Arial" w:hAnsi="Arial"/>
          <w:b/>
          <w:bCs/>
          <w:color w:val="1A1A1A"/>
          <w:sz w:val="22"/>
          <w:szCs w:val="22"/>
          <w:u w:val="single"/>
        </w:rPr>
        <w:t xml:space="preserve">Court or Detention Records</w:t>
      </w:r>
    </w:p>
    <w:p>
      <w:pPr>
        <w:pStyle w:val="ListParagraph"/>
        <w:numPr>
          <w:ilvl w:val="0"/>
          <w:numId w:val="2"/>
        </w:numPr>
        <w:spacing w:after="40"/>
      </w:pPr>
      <w:r>
        <w:rPr>
          <w:rFonts w:ascii="Arial" w:cs="Arial" w:eastAsia="Arial" w:hAnsi="Arial"/>
          <w:b w:val="false"/>
          <w:bCs w:val="false"/>
          <w:color w:val="1A1A1A"/>
          <w:sz w:val="20"/>
          <w:szCs w:val="20"/>
        </w:rPr>
        <w:t xml:space="preserve">Full NTA</w:t>
      </w:r>
    </w:p>
    <w:p>
      <w:pPr>
        <w:pStyle w:val="ListParagraph"/>
        <w:numPr>
          <w:ilvl w:val="0"/>
          <w:numId w:val="2"/>
        </w:numPr>
        <w:spacing w:after="40"/>
      </w:pPr>
      <w:r>
        <w:rPr>
          <w:rFonts w:ascii="Arial" w:cs="Arial" w:eastAsia="Arial" w:hAnsi="Arial"/>
          <w:b w:val="false"/>
          <w:bCs w:val="false"/>
          <w:color w:val="1A1A1A"/>
          <w:sz w:val="20"/>
          <w:szCs w:val="20"/>
        </w:rPr>
        <w:t xml:space="preserve">Any prior court orders</w:t>
      </w:r>
    </w:p>
    <w:p>
      <w:pPr>
        <w:pStyle w:val="ListParagraph"/>
        <w:numPr>
          <w:ilvl w:val="0"/>
          <w:numId w:val="2"/>
        </w:numPr>
        <w:spacing w:after="40"/>
      </w:pPr>
      <w:r>
        <w:rPr>
          <w:rFonts w:ascii="Arial" w:cs="Arial" w:eastAsia="Arial" w:hAnsi="Arial"/>
          <w:b w:val="false"/>
          <w:bCs w:val="false"/>
          <w:color w:val="1A1A1A"/>
          <w:sz w:val="20"/>
          <w:szCs w:val="20"/>
        </w:rPr>
        <w:t xml:space="preserve">Any communications from immigration court</w:t>
      </w:r>
    </w:p>
    <w:p>
      <w:pPr>
        <w:spacing w:after="80"/>
      </w:pPr>
      <w:r>
        <w:t xml:space="preserve"/>
      </w:r>
    </w:p>
    <w:p>
      <w:pPr>
        <w:spacing w:after="60" w:before="160"/>
      </w:pPr>
      <w:r>
        <w:rPr>
          <w:rFonts w:ascii="Arial" w:cs="Arial" w:eastAsia="Arial" w:hAnsi="Arial"/>
          <w:b/>
          <w:bCs/>
          <w:color w:val="1A1A1A"/>
          <w:sz w:val="22"/>
          <w:szCs w:val="22"/>
          <w:u w:val="single"/>
        </w:rPr>
        <w:t xml:space="preserve">Other Supporting Documents</w:t>
      </w:r>
    </w:p>
    <w:p>
      <w:pPr>
        <w:pStyle w:val="ListParagraph"/>
        <w:numPr>
          <w:ilvl w:val="0"/>
          <w:numId w:val="2"/>
        </w:numPr>
        <w:spacing w:after="40"/>
      </w:pPr>
      <w:r>
        <w:rPr>
          <w:rFonts w:ascii="Arial" w:cs="Arial" w:eastAsia="Arial" w:hAnsi="Arial"/>
          <w:b w:val="false"/>
          <w:bCs w:val="false"/>
          <w:color w:val="1A1A1A"/>
          <w:sz w:val="20"/>
          <w:szCs w:val="20"/>
        </w:rPr>
        <w:t xml:space="preserve">Son's birth certificate and school records (relationship evidence)</w:t>
      </w:r>
    </w:p>
    <w:p>
      <w:pPr>
        <w:pStyle w:val="ListParagraph"/>
        <w:numPr>
          <w:ilvl w:val="0"/>
          <w:numId w:val="2"/>
        </w:numPr>
        <w:spacing w:after="40"/>
      </w:pPr>
      <w:r>
        <w:rPr>
          <w:rFonts w:ascii="Arial" w:cs="Arial" w:eastAsia="Arial" w:hAnsi="Arial"/>
          <w:b w:val="false"/>
          <w:bCs w:val="false"/>
          <w:color w:val="1A1A1A"/>
          <w:sz w:val="20"/>
          <w:szCs w:val="20"/>
        </w:rPr>
        <w:t xml:space="preserve">Evidence of current residence (relative's address)</w:t>
      </w:r>
    </w:p>
    <w:p>
      <w:pPr>
        <w:spacing w:after="80"/>
      </w:pPr>
      <w:r>
        <w:t xml:space="preserve"/>
      </w:r>
    </w:p>
    <w:p>
      <w:pPr>
        <w:pStyle w:val="Heading1"/>
        <w:spacing w:after="120" w:before="320"/>
      </w:pPr>
      <w:r>
        <w:rPr>
          <w:rFonts w:ascii="Arial" w:cs="Arial" w:eastAsia="Arial" w:hAnsi="Arial"/>
          <w:b/>
          <w:bCs/>
          <w:color w:val="1F3864"/>
          <w:sz w:val="28"/>
          <w:szCs w:val="28"/>
        </w:rPr>
        <w:t xml:space="preserve">7. Urgency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7B4F00"/>
                <w:sz w:val="20"/>
                <w:szCs w:val="20"/>
              </w:rPr>
              <w:t xml:space="preserve">TIME-SENSITIVE. </w:t>
            </w:r>
            <w:r>
              <w:rPr>
                <w:rFonts w:ascii="Arial" w:cs="Arial" w:eastAsia="Arial" w:hAnsi="Arial"/>
                <w:color w:val="7B4F00"/>
                <w:sz w:val="20"/>
                <w:szCs w:val="20"/>
              </w:rPr>
              <w:t xml:space="preserve">Escalate promptly — master calendar hearing approximately 45 days out and one-year filing bar status is unresolved.</w:t>
            </w:r>
          </w:p>
        </w:tc>
      </w:tr>
    </w:tbl>
    <w:p>
      <w:pPr>
        <w:spacing w:after="80"/>
      </w:pPr>
      <w:r>
        <w:t xml:space="preserve"/>
      </w:r>
    </w:p>
    <w:p>
      <w:pPr>
        <w:pStyle w:val="ListParagraph"/>
        <w:numPr>
          <w:ilvl w:val="0"/>
          <w:numId w:val="2"/>
        </w:numPr>
        <w:spacing w:after="40"/>
      </w:pPr>
      <w:r>
        <w:rPr>
          <w:rFonts w:ascii="Arial" w:cs="Arial" w:eastAsia="Arial" w:hAnsi="Arial"/>
          <w:b/>
          <w:bCs/>
          <w:color w:val="1A1A1A"/>
          <w:sz w:val="20"/>
          <w:szCs w:val="20"/>
        </w:rPr>
        <w:t xml:space="preserve">Master calendar hearing is ~45 days out. Attorney must review the NTA, confirm the court and date, and determine whether representation can be entered in time.</w:t>
      </w:r>
    </w:p>
    <w:p>
      <w:pPr>
        <w:pStyle w:val="ListParagraph"/>
        <w:numPr>
          <w:ilvl w:val="0"/>
          <w:numId w:val="2"/>
        </w:numPr>
        <w:spacing w:after="40"/>
      </w:pPr>
      <w:r>
        <w:rPr>
          <w:rFonts w:ascii="Arial" w:cs="Arial" w:eastAsia="Arial" w:hAnsi="Arial"/>
          <w:b/>
          <w:bCs/>
          <w:color w:val="1A1A1A"/>
          <w:sz w:val="20"/>
          <w:szCs w:val="20"/>
        </w:rPr>
        <w:t xml:space="preserve">One-year asylum filing bar is a critical threshold. Entry was sometime in 2023 — if exact date is not confirmed immediately, filing strategy cannot be assessed.</w:t>
      </w:r>
    </w:p>
    <w:p>
      <w:pPr>
        <w:pStyle w:val="ListParagraph"/>
        <w:numPr>
          <w:ilvl w:val="0"/>
          <w:numId w:val="2"/>
        </w:numPr>
        <w:spacing w:after="40"/>
      </w:pPr>
      <w:r>
        <w:rPr>
          <w:rFonts w:ascii="Arial" w:cs="Arial" w:eastAsia="Arial" w:hAnsi="Arial"/>
          <w:b w:val="false"/>
          <w:bCs w:val="false"/>
          <w:color w:val="1A1A1A"/>
          <w:sz w:val="20"/>
          <w:szCs w:val="20"/>
        </w:rPr>
        <w:t xml:space="preserve">Client is emotionally distressed with a young child. Family considerations and psychological support needs should be assessed early.</w:t>
      </w:r>
    </w:p>
    <w:p>
      <w:pPr>
        <w:pStyle w:val="ListParagraph"/>
        <w:numPr>
          <w:ilvl w:val="0"/>
          <w:numId w:val="2"/>
        </w:numPr>
        <w:spacing w:after="40"/>
      </w:pPr>
      <w:r>
        <w:rPr>
          <w:rFonts w:ascii="Arial" w:cs="Arial" w:eastAsia="Arial" w:hAnsi="Arial"/>
          <w:b w:val="false"/>
          <w:bCs w:val="false"/>
          <w:color w:val="1A1A1A"/>
          <w:sz w:val="20"/>
          <w:szCs w:val="20"/>
        </w:rPr>
        <w:t xml:space="preserve">No criminal history or detention reported — no emergency-level custodial risk at this time.</w:t>
      </w:r>
    </w:p>
    <w:p>
      <w:pPr>
        <w:spacing w:after="80"/>
      </w:pPr>
      <w:r>
        <w:t xml:space="preserve"/>
      </w:r>
    </w:p>
    <w:p>
      <w:pPr>
        <w:pStyle w:val="Heading1"/>
        <w:spacing w:after="120" w:before="320"/>
      </w:pPr>
      <w:r>
        <w:rPr>
          <w:rFonts w:ascii="Arial" w:cs="Arial" w:eastAsia="Arial" w:hAnsi="Arial"/>
          <w:b/>
          <w:bCs/>
          <w:color w:val="1F3864"/>
          <w:sz w:val="28"/>
          <w:szCs w:val="28"/>
        </w:rPr>
        <w:t xml:space="preserve">8. Attorney Review Notes</w:t>
      </w:r>
    </w:p>
    <w:p>
      <w:pPr>
        <w:spacing w:after="60"/>
      </w:pPr>
      <w:r>
        <w:rPr>
          <w:rFonts w:ascii="Arial" w:cs="Arial" w:eastAsia="Arial" w:hAnsi="Arial"/>
          <w:b/>
          <w:bCs/>
          <w:color w:val="1A1A1A"/>
          <w:sz w:val="20"/>
          <w:szCs w:val="20"/>
        </w:rPr>
        <w:t xml:space="preserve">Biggest legal uncertainty: </w:t>
      </w:r>
      <w:r>
        <w:rPr>
          <w:rFonts w:ascii="Arial" w:cs="Arial" w:eastAsia="Arial" w:hAnsi="Arial"/>
          <w:color w:val="1A1A1A"/>
          <w:sz w:val="20"/>
          <w:szCs w:val="20"/>
        </w:rPr>
        <w:t xml:space="preserve">Whether the one-year filing bar has been triggered and whether any exception applies. Entry date must be confirmed before any filing strategy can be set.</w:t>
      </w:r>
    </w:p>
    <w:p>
      <w:pPr>
        <w:spacing w:after="60"/>
      </w:pPr>
      <w:r>
        <w:rPr>
          <w:rFonts w:ascii="Arial" w:cs="Arial" w:eastAsia="Arial" w:hAnsi="Arial"/>
          <w:b/>
          <w:bCs/>
          <w:color w:val="1A1A1A"/>
          <w:sz w:val="20"/>
          <w:szCs w:val="20"/>
        </w:rPr>
        <w:t xml:space="preserve">Most important missing fact: </w:t>
      </w:r>
      <w:r>
        <w:rPr>
          <w:rFonts w:ascii="Arial" w:cs="Arial" w:eastAsia="Arial" w:hAnsi="Arial"/>
          <w:color w:val="1A1A1A"/>
          <w:sz w:val="20"/>
          <w:szCs w:val="20"/>
        </w:rPr>
        <w:t xml:space="preserve">Exact U.S. entry date and full NTA details — the entire procedural posture and available remedies depend on this.</w:t>
      </w:r>
    </w:p>
    <w:p>
      <w:pPr>
        <w:spacing w:after="60"/>
      </w:pPr>
      <w:r>
        <w:rPr>
          <w:rFonts w:ascii="Arial" w:cs="Arial" w:eastAsia="Arial" w:hAnsi="Arial"/>
          <w:b/>
          <w:bCs/>
          <w:color w:val="1A1A1A"/>
          <w:sz w:val="20"/>
          <w:szCs w:val="20"/>
        </w:rPr>
        <w:t xml:space="preserve">Most sensitive issue: </w:t>
      </w:r>
      <w:r>
        <w:rPr>
          <w:rFonts w:ascii="Arial" w:cs="Arial" w:eastAsia="Arial" w:hAnsi="Arial"/>
          <w:color w:val="1A1A1A"/>
          <w:sz w:val="20"/>
          <w:szCs w:val="20"/>
        </w:rPr>
        <w:t xml:space="preserve">Credibility. Client showed emotional distress and inconsistent date recall at intake. This is consistent with trauma, but will require careful handling in declaration drafting and hearing prep. Psychological evaluation should be discussed with attorney.</w:t>
      </w:r>
    </w:p>
    <w:p>
      <w:pPr>
        <w:spacing w:after="60"/>
      </w:pPr>
      <w:r>
        <w:rPr>
          <w:rFonts w:ascii="Arial" w:cs="Arial" w:eastAsia="Arial" w:hAnsi="Arial"/>
          <w:b/>
          <w:bCs/>
          <w:color w:val="1A1A1A"/>
          <w:sz w:val="20"/>
          <w:szCs w:val="20"/>
        </w:rPr>
        <w:t xml:space="preserve">What staff should not communicate before attorney review: </w:t>
      </w:r>
      <w:r>
        <w:rPr>
          <w:rFonts w:ascii="Arial" w:cs="Arial" w:eastAsia="Arial" w:hAnsi="Arial"/>
          <w:color w:val="1A1A1A"/>
          <w:sz w:val="20"/>
          <w:szCs w:val="20"/>
        </w:rPr>
        <w:t xml:space="preserve">Do not advise on chances of success, strength of claim, or what will happen at the hearing. Do not advise on whether to apply for asylum or other relief. Do not make representations about the one-year bar.</w:t>
      </w:r>
    </w:p>
    <w:p>
      <w:pPr>
        <w:spacing w:after="60"/>
      </w:pPr>
      <w:r>
        <w:rPr>
          <w:rFonts w:ascii="Arial" w:cs="Arial" w:eastAsia="Arial" w:hAnsi="Arial"/>
          <w:b/>
          <w:bCs/>
          <w:color w:val="1A1A1A"/>
          <w:sz w:val="20"/>
          <w:szCs w:val="20"/>
        </w:rPr>
        <w:t xml:space="preserve">Immediate escalation recommended: </w:t>
      </w:r>
      <w:r>
        <w:rPr>
          <w:rFonts w:ascii="Arial" w:cs="Arial" w:eastAsia="Arial" w:hAnsi="Arial"/>
          <w:color w:val="1A1A1A"/>
          <w:sz w:val="20"/>
          <w:szCs w:val="20"/>
        </w:rPr>
        <w:t xml:space="preserve">Yes — 45-day hearing window and potential one-year bar issue warrant prompt attorney involvement.</w:t>
      </w:r>
    </w:p>
    <w:p>
      <w:pPr>
        <w:spacing w:after="80"/>
      </w:pPr>
      <w:r>
        <w:t xml:space="preserve"/>
      </w:r>
    </w:p>
    <w:p>
      <w:pPr>
        <w:pStyle w:val="Heading1"/>
        <w:spacing w:after="120" w:before="320"/>
      </w:pPr>
      <w:r>
        <w:rPr>
          <w:rFonts w:ascii="Arial" w:cs="Arial" w:eastAsia="Arial" w:hAnsi="Arial"/>
          <w:b/>
          <w:bCs/>
          <w:color w:val="1F3864"/>
          <w:sz w:val="28"/>
          <w:szCs w:val="28"/>
        </w:rPr>
        <w:t xml:space="preserve">9. Suggested Next Steps</w:t>
      </w:r>
    </w:p>
    <w:p>
      <w:pPr>
        <w:pStyle w:val="ListParagraph"/>
        <w:numPr>
          <w:ilvl w:val="0"/>
          <w:numId w:val="2"/>
        </w:numPr>
        <w:spacing w:after="40"/>
      </w:pPr>
      <w:r>
        <w:rPr>
          <w:rFonts w:ascii="Arial" w:cs="Arial" w:eastAsia="Arial" w:hAnsi="Arial"/>
          <w:b/>
          <w:bCs/>
          <w:color w:val="1A1A1A"/>
          <w:sz w:val="20"/>
          <w:szCs w:val="20"/>
        </w:rPr>
        <w:t xml:space="preserve">Escalate to attorney immediately — hearing in ~45 days; one-year bar issue unresolved</w:t>
      </w:r>
    </w:p>
    <w:p>
      <w:pPr>
        <w:pStyle w:val="ListParagraph"/>
        <w:numPr>
          <w:ilvl w:val="0"/>
          <w:numId w:val="2"/>
        </w:numPr>
        <w:spacing w:after="40"/>
      </w:pPr>
      <w:r>
        <w:rPr>
          <w:rFonts w:ascii="Arial" w:cs="Arial" w:eastAsia="Arial" w:hAnsi="Arial"/>
          <w:b/>
          <w:bCs/>
          <w:color w:val="1A1A1A"/>
          <w:sz w:val="20"/>
          <w:szCs w:val="20"/>
        </w:rPr>
        <w:t xml:space="preserve">Obtain and review full NTA — confirm court, case number, hearing date, and charges</w:t>
      </w:r>
    </w:p>
    <w:p>
      <w:pPr>
        <w:pStyle w:val="ListParagraph"/>
        <w:numPr>
          <w:ilvl w:val="0"/>
          <w:numId w:val="2"/>
        </w:numPr>
        <w:spacing w:after="40"/>
      </w:pPr>
      <w:r>
        <w:rPr>
          <w:rFonts w:ascii="Arial" w:cs="Arial" w:eastAsia="Arial" w:hAnsi="Arial"/>
          <w:b/>
          <w:bCs/>
          <w:color w:val="1A1A1A"/>
          <w:sz w:val="20"/>
          <w:szCs w:val="20"/>
        </w:rPr>
        <w:t xml:space="preserve">Confirm exact U.S. entry date — necessary to assess one-year bar and filing options</w:t>
      </w:r>
    </w:p>
    <w:p>
      <w:pPr>
        <w:pStyle w:val="ListParagraph"/>
        <w:numPr>
          <w:ilvl w:val="0"/>
          <w:numId w:val="2"/>
        </w:numPr>
        <w:spacing w:after="40"/>
      </w:pPr>
      <w:r>
        <w:rPr>
          <w:rFonts w:ascii="Arial" w:cs="Arial" w:eastAsia="Arial" w:hAnsi="Arial"/>
          <w:b w:val="false"/>
          <w:bCs w:val="false"/>
          <w:color w:val="1A1A1A"/>
          <w:sz w:val="20"/>
          <w:szCs w:val="20"/>
        </w:rPr>
        <w:t xml:space="preserve">Request missing evidence — WhatsApp screenshots, demonstration photos, identity documents, birth certificates</w:t>
      </w:r>
    </w:p>
    <w:p>
      <w:pPr>
        <w:pStyle w:val="ListParagraph"/>
        <w:numPr>
          <w:ilvl w:val="0"/>
          <w:numId w:val="2"/>
        </w:numPr>
        <w:spacing w:after="40"/>
      </w:pPr>
      <w:r>
        <w:rPr>
          <w:rFonts w:ascii="Arial" w:cs="Arial" w:eastAsia="Arial" w:hAnsi="Arial"/>
          <w:b w:val="false"/>
          <w:bCs w:val="false"/>
          <w:color w:val="1A1A1A"/>
          <w:sz w:val="20"/>
          <w:szCs w:val="20"/>
        </w:rPr>
        <w:t xml:space="preserve">Schedule declaration interview — trauma-informed, with interpreter; allow adequate time</w:t>
      </w:r>
    </w:p>
    <w:p>
      <w:pPr>
        <w:pStyle w:val="ListParagraph"/>
        <w:numPr>
          <w:ilvl w:val="0"/>
          <w:numId w:val="2"/>
        </w:numPr>
        <w:spacing w:after="40"/>
      </w:pPr>
      <w:r>
        <w:rPr>
          <w:rFonts w:ascii="Arial" w:cs="Arial" w:eastAsia="Arial" w:hAnsi="Arial"/>
          <w:b w:val="false"/>
          <w:bCs w:val="false"/>
          <w:color w:val="1A1A1A"/>
          <w:sz w:val="20"/>
          <w:szCs w:val="20"/>
        </w:rPr>
        <w:t xml:space="preserve">Assess psychological evaluation referral — distress noted at intake; may support credibility and extraordinary circumstances exception</w:t>
      </w:r>
    </w:p>
    <w:p>
      <w:pPr>
        <w:pStyle w:val="ListParagraph"/>
        <w:numPr>
          <w:ilvl w:val="0"/>
          <w:numId w:val="2"/>
        </w:numPr>
        <w:spacing w:after="40"/>
      </w:pPr>
      <w:r>
        <w:rPr>
          <w:rFonts w:ascii="Arial" w:cs="Arial" w:eastAsia="Arial" w:hAnsi="Arial"/>
          <w:b w:val="false"/>
          <w:bCs w:val="false"/>
          <w:color w:val="1A1A1A"/>
          <w:sz w:val="20"/>
          <w:szCs w:val="20"/>
        </w:rPr>
        <w:t xml:space="preserve">Run deadline review — once entry date confirmed, calculate one-year bar and exceptions</w:t>
      </w:r>
    </w:p>
    <w:p>
      <w:pPr>
        <w:pStyle w:val="ListParagraph"/>
        <w:numPr>
          <w:ilvl w:val="0"/>
          <w:numId w:val="2"/>
        </w:numPr>
        <w:spacing w:after="40"/>
      </w:pPr>
      <w:r>
        <w:rPr>
          <w:rFonts w:ascii="Arial" w:cs="Arial" w:eastAsia="Arial" w:hAnsi="Arial"/>
          <w:b w:val="false"/>
          <w:bCs w:val="false"/>
          <w:color w:val="1A1A1A"/>
          <w:sz w:val="20"/>
          <w:szCs w:val="20"/>
        </w:rPr>
        <w:t xml:space="preserve">Assess son's status independently — confirm whether he has separate NTA or derivative status</w:t>
      </w:r>
    </w:p>
    <w:p>
      <w:pPr>
        <w:spacing w:after="80"/>
      </w:pPr>
      <w:r>
        <w:t xml:space="preserve"/>
      </w:r>
    </w:p>
    <w:p>
      <w:pPr>
        <w:pBdr>
          <w:bottom w:val="single" w:color="CCCCCC" w:sz="4" w:space="1"/>
        </w:pBdr>
        <w:spacing w:after="120"/>
      </w:pPr>
      <w:r>
        <w:t xml:space="preserve"/>
      </w:r>
    </w:p>
    <w:p>
      <w:pPr>
        <w:spacing w:after="0"/>
      </w:pPr>
      <w:r>
        <w:rPr>
          <w:rFonts w:ascii="Arial" w:cs="Arial" w:eastAsia="Arial" w:hAnsi="Arial"/>
          <w:b/>
          <w:bCs/>
          <w:i/>
          <w:iCs/>
          <w:color w:val="595959"/>
          <w:sz w:val="18"/>
          <w:szCs w:val="18"/>
        </w:rPr>
        <w:t xml:space="preserve">Attorney review required before relying on this summary or communicating legal conclusions to the client.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i/>
        <w:iCs/>
        <w:color w:val="595959"/>
        <w:sz w:val="16"/>
        <w:szCs w:val="16"/>
      </w:rPr>
      <w:t xml:space="preserve">Attorney review required before relying on this summary or communicating legal conclusions to the client.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HUMANITARIAN INTAKE SUMMARY</w:t>
    </w:r>
    <w:r>
      <w:rPr>
        <w:rFonts w:ascii="Arial" w:cs="Arial" w:eastAsia="Arial" w:hAnsi="Arial"/>
        <w:color w:val="595959"/>
        <w:sz w:val="18"/>
        <w:szCs w:val="18"/>
      </w:rPr>
      <w:t xml:space="preserve">   |   ATTORNEY REVIEW ONLY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2026-05-22T02:10:00.830Z</dcterms:created>
  <dcterms:modified xsi:type="dcterms:W3CDTF">2026-05-22T02:10:00.830Z</dcterms:modified>
</cp:coreProperties>
</file>

<file path=docProps/custom.xml><?xml version="1.0" encoding="utf-8"?>
<Properties xmlns="http://schemas.openxmlformats.org/officeDocument/2006/custom-properties" xmlns:vt="http://schemas.openxmlformats.org/officeDocument/2006/docPropsVTypes"/>
</file>