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高效能 Token 云服务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Q/KXY ICO006—2026《智算云服务 Token工程能力要求》第四章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检验依据：Q/KXY ICO006—2026《智算云服务 Token工程能力要求》第四章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Token产能效率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应完成Token生成吞吐率、有效Token产能（eTPM）、上下文长度性能、并发Token产能及产能极限测试；各场景应正常执行并形成完整、可追溯的吞吐率、有效率、时延和资源占用数据；吞吐率在负载提升过程中总体增长，达到饱和点后系统仍保持稳定，无异常中断或无效输出，并可确定产能上限及推荐并发区间。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{{RESULT_101}}</w:t>
              <w:br/>
              <w:t>[[DEMO_101]]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{{CONCLUSION_101}}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时延与响应体验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应完成端到端时延、首Token时延（TTFT）、Token间时延（ITL）及用户响应体验测试；P50、P95、P99、P999等指标应可准确采集并可进行链路拆解；低、中负载下响应稳定、流式输出连续，高负载下性能退化可观测、可解释，能够识别时延瓶颈并确定满足服务体验要求的推荐工作区间。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{{RESULT_502}}</w:t>
              <w:br/>
              <w:t>[[DEMO_502]]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{{CONCLUSION_502}}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服务承载能力与稳定性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应完成极限承载、7×24小时稳定运行、弹性扩缩容、故障恢复与容灾、SLA保障测试；长时间运行期间不得出现服务不可用、资源泄漏或明显性能漂移，请求成功率应达到SLA要求（不低于99.9%）；扩缩容过程应保持请求连续，故障应能被自动检测、隔离并恢复，过载保护、监控和告警机制应有效。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{{RESULT_503}}</w:t>
              <w:br/>
              <w:t>[[DEMO_503]]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{{CONCLUSION_503}}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资源利用率与能效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应完成异构加速器利用率、显存效率、Prefill/Decode吞吐、CPU/内存/网络、单位有效Token成本、ROI、并行扩展效率及能效比测试；关键资源与能耗指标应可采集、可计算、可追溯，运行期间不得出现显存异常、资源泄漏或服务中断；扩展效率、资源利用率和能效表现应满足设计预期，并能够形成容量、成本和硬件选型依据。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{{RESULT_504}}</w:t>
              <w:br/>
              <w:t>[[DEMO_504]]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{{CONCLUSION_504}}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高效能 Token 云服务检验报告在线生成模板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