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智能体交付管理能力要求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用户提供《智能体交付管理能力要求原始记录》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检验依据：用户提供《智能体交付管理能力要求原始记录》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业务目标与场景拆解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应完成相应能力验证，过程和结果可追溯。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{{RESULT_111_1}}</w:t>
              <w:br/>
              <w:t>[[DEMO_111_1]]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{{CONCLUSION_111_1}}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监管合规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应完成相应能力验证，过程和结果可追溯。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{{RESULT_111_2}}</w:t>
              <w:br/>
              <w:t>[[DEMO_111_2]]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{{CONCLUSION_111_2}}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日志采集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应完成相应能力验证，过程和结果可追溯。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{{RESULT_112_1}}</w:t>
              <w:br/>
              <w:t>[[DEMO_112_1]]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{{CONCLUSION_112_1}}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工具集成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应完成相应能力验证，过程和结果可追溯。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{{RESULT_112_2}}</w:t>
              <w:br/>
              <w:t>[[DEMO_112_2]]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{{CONCLUSION_112_2}}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合规与风险管理提前介入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{{RESULT_112_3}}</w:t>
              <w:br/>
              <w:t>[[DEMO_112_3]]</w:t>
            </w:r>
          </w:p>
        </w:tc>
        <w:tc>
          <w:tcPr>
            <w:tcW w:type="dxa" w:w="1208"/>
          </w:tcPr>
          <w:p>
            <w:r>
              <w:t>{{CONCLUSION_112_3}}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功能测试与可解释性测试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{{RESULT_121_1}}</w:t>
              <w:br/>
              <w:t>[[DEMO_121_1]]</w:t>
            </w:r>
          </w:p>
        </w:tc>
        <w:tc>
          <w:tcPr>
            <w:tcW w:type="dxa" w:w="1208"/>
          </w:tcPr>
          <w:p>
            <w:r>
              <w:t>{{CONCLUSION_121_1}}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负载与压力测试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{{RESULT_121_2}}</w:t>
              <w:br/>
              <w:t>[[DEMO_121_2]]</w:t>
            </w:r>
          </w:p>
        </w:tc>
        <w:tc>
          <w:tcPr>
            <w:tcW w:type="dxa" w:w="1208"/>
          </w:tcPr>
          <w:p>
            <w:r>
              <w:t>{{CONCLUSION_121_2}}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安全测试与审计验证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{{RESULT_121_3}}</w:t>
              <w:br/>
              <w:t>[[DEMO_121_3]]</w:t>
            </w:r>
          </w:p>
        </w:tc>
        <w:tc>
          <w:tcPr>
            <w:tcW w:type="dxa" w:w="1208"/>
          </w:tcPr>
          <w:p>
            <w:r>
              <w:t>{{CONCLUSION_121_3}}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开发环境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{{RESULT_122_1}}</w:t>
              <w:br/>
              <w:t>[[DEMO_122_1]]</w:t>
            </w:r>
          </w:p>
        </w:tc>
        <w:tc>
          <w:tcPr>
            <w:tcW w:type="dxa" w:w="1208"/>
          </w:tcPr>
          <w:p>
            <w:r>
              <w:t>{{CONCLUSION_122_1}}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测试环境演练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{{RESULT_122_2}}</w:t>
              <w:br/>
              <w:t>[[DEMO_122_2]]</w:t>
            </w:r>
          </w:p>
        </w:tc>
        <w:tc>
          <w:tcPr>
            <w:tcW w:type="dxa" w:w="1208"/>
          </w:tcPr>
          <w:p>
            <w:r>
              <w:t>{{CONCLUSION_122_2}}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指标采集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{{RESULT_123_1}}</w:t>
              <w:br/>
              <w:t>[[DEMO_123_1]]</w:t>
            </w:r>
          </w:p>
        </w:tc>
        <w:tc>
          <w:tcPr>
            <w:tcW w:type="dxa" w:w="1208"/>
          </w:tcPr>
          <w:p>
            <w:r>
              <w:t>{{CONCLUSION_123_1}}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策略迭代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{{RESULT_123_3}}</w:t>
              <w:br/>
              <w:t>[[DEMO_123_3]]</w:t>
            </w:r>
          </w:p>
        </w:tc>
        <w:tc>
          <w:tcPr>
            <w:tcW w:type="dxa" w:w="1208"/>
          </w:tcPr>
          <w:p>
            <w:r>
              <w:t>{{CONCLUSION_123_3}}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对比评测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{{RESULT_123_4}}</w:t>
              <w:br/>
              <w:t>[[DEMO_123_4]]</w:t>
            </w:r>
          </w:p>
        </w:tc>
        <w:tc>
          <w:tcPr>
            <w:tcW w:type="dxa" w:w="1208"/>
          </w:tcPr>
          <w:p>
            <w:r>
              <w:t>{{CONCLUSION_123_4}}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CI/CD管理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{{RESULT_131_1}}</w:t>
              <w:br/>
              <w:t>[[DEMO_131_1]]</w:t>
            </w:r>
          </w:p>
        </w:tc>
        <w:tc>
          <w:tcPr>
            <w:tcW w:type="dxa" w:w="1208"/>
          </w:tcPr>
          <w:p>
            <w:r>
              <w:t>{{CONCLUSION_131_1}}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灰度发布、A/B测试监控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{{RESULT_131_2}}</w:t>
              <w:br/>
              <w:t>[[DEMO_131_2]]</w:t>
            </w:r>
          </w:p>
        </w:tc>
        <w:tc>
          <w:tcPr>
            <w:tcW w:type="dxa" w:w="1208"/>
          </w:tcPr>
          <w:p>
            <w:r>
              <w:t>{{CONCLUSION_131_2}}</w:t>
            </w:r>
          </w:p>
        </w:tc>
      </w:tr>
      <w:tr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2977"/>
          </w:tcPr>
          <w:p>
            <w:r>
              <w:t>多Agent调度与健康检查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{{RESULT_132_1}}</w:t>
              <w:br/>
              <w:t>[[DEMO_132_1]]</w:t>
            </w:r>
          </w:p>
        </w:tc>
        <w:tc>
          <w:tcPr>
            <w:tcW w:type="dxa" w:w="1208"/>
          </w:tcPr>
          <w:p>
            <w:r>
              <w:t>{{CONCLUSION_132_1}}</w:t>
            </w:r>
          </w:p>
        </w:tc>
      </w:tr>
      <w:tr>
        <w:tc>
          <w:tcPr>
            <w:tcW w:type="dxa" w:w="855"/>
          </w:tcPr>
          <w:p>
            <w:r>
              <w:t>17</w:t>
            </w:r>
          </w:p>
        </w:tc>
        <w:tc>
          <w:tcPr>
            <w:tcW w:type="dxa" w:w="2977"/>
          </w:tcPr>
          <w:p>
            <w:r>
              <w:t>合规复审与敏感操作监视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{{RESULT_132_2}}</w:t>
              <w:br/>
              <w:t>[[DEMO_132_2]]</w:t>
            </w:r>
          </w:p>
        </w:tc>
        <w:tc>
          <w:tcPr>
            <w:tcW w:type="dxa" w:w="1208"/>
          </w:tcPr>
          <w:p>
            <w:r>
              <w:t>{{CONCLUSION_132_2}}</w:t>
            </w:r>
          </w:p>
        </w:tc>
      </w:tr>
      <w:tr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2977"/>
          </w:tcPr>
          <w:p>
            <w:r>
              <w:t>分布式追踪全链路可视化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{{RESULT_141_1}}</w:t>
              <w:br/>
              <w:t>[[DEMO_141_1]]</w:t>
            </w:r>
          </w:p>
        </w:tc>
        <w:tc>
          <w:tcPr>
            <w:tcW w:type="dxa" w:w="1208"/>
          </w:tcPr>
          <w:p>
            <w:r>
              <w:t>{{CONCLUSION_141_1}}</w:t>
            </w:r>
          </w:p>
        </w:tc>
      </w:tr>
      <w:tr>
        <w:tc>
          <w:tcPr>
            <w:tcW w:type="dxa" w:w="855"/>
          </w:tcPr>
          <w:p>
            <w:r>
              <w:t>19</w:t>
            </w:r>
          </w:p>
        </w:tc>
        <w:tc>
          <w:tcPr>
            <w:tcW w:type="dxa" w:w="2977"/>
          </w:tcPr>
          <w:p>
            <w:r>
              <w:t>性能度量与瓶颈识别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{{RESULT_141_2}}</w:t>
              <w:br/>
              <w:t>[[DEMO_141_2]]</w:t>
            </w:r>
          </w:p>
        </w:tc>
        <w:tc>
          <w:tcPr>
            <w:tcW w:type="dxa" w:w="1208"/>
          </w:tcPr>
          <w:p>
            <w:r>
              <w:t>{{CONCLUSION_141_2}}</w:t>
            </w:r>
          </w:p>
        </w:tc>
      </w:tr>
      <w:tr>
        <w:tc>
          <w:tcPr>
            <w:tcW w:type="dxa" w:w="855"/>
          </w:tcPr>
          <w:p>
            <w:r>
              <w:t>20</w:t>
            </w:r>
          </w:p>
        </w:tc>
        <w:tc>
          <w:tcPr>
            <w:tcW w:type="dxa" w:w="2977"/>
          </w:tcPr>
          <w:p>
            <w:r>
              <w:t>实时用户反馈及数据回流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{{RESULT_142_1}}</w:t>
              <w:br/>
              <w:t>[[DEMO_142_1]]</w:t>
            </w:r>
          </w:p>
        </w:tc>
        <w:tc>
          <w:tcPr>
            <w:tcW w:type="dxa" w:w="1208"/>
          </w:tcPr>
          <w:p>
            <w:r>
              <w:t>{{CONCLUSION_142_1}}</w:t>
            </w:r>
          </w:p>
        </w:tc>
      </w:tr>
      <w:tr>
        <w:tc>
          <w:tcPr>
            <w:tcW w:type="dxa" w:w="855"/>
          </w:tcPr>
          <w:p>
            <w:r>
              <w:t>21</w:t>
            </w:r>
          </w:p>
        </w:tc>
        <w:tc>
          <w:tcPr>
            <w:tcW w:type="dxa" w:w="2977"/>
          </w:tcPr>
          <w:p>
            <w:r>
              <w:t>决策可解释性与审计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{{RESULT_142_2}}</w:t>
              <w:br/>
              <w:t>[[DEMO_142_2]]</w:t>
            </w:r>
          </w:p>
        </w:tc>
        <w:tc>
          <w:tcPr>
            <w:tcW w:type="dxa" w:w="1208"/>
          </w:tcPr>
          <w:p>
            <w:r>
              <w:t>{{CONCLUSION_142_2}}</w:t>
            </w:r>
          </w:p>
        </w:tc>
      </w:tr>
      <w:tr>
        <w:tc>
          <w:tcPr>
            <w:tcW w:type="dxa" w:w="855"/>
          </w:tcPr>
          <w:p>
            <w:r>
              <w:t>22</w:t>
            </w:r>
          </w:p>
        </w:tc>
        <w:tc>
          <w:tcPr>
            <w:tcW w:type="dxa" w:w="2977"/>
          </w:tcPr>
          <w:p>
            <w:r>
              <w:t>持续安全监控与异常检测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{{RESULT_143_1}}</w:t>
              <w:br/>
              <w:t>[[DEMO_143_1]]</w:t>
            </w:r>
          </w:p>
        </w:tc>
        <w:tc>
          <w:tcPr>
            <w:tcW w:type="dxa" w:w="1208"/>
          </w:tcPr>
          <w:p>
            <w:r>
              <w:t>{{CONCLUSION_143_1}}</w:t>
            </w:r>
          </w:p>
        </w:tc>
      </w:tr>
      <w:tr>
        <w:tc>
          <w:tcPr>
            <w:tcW w:type="dxa" w:w="855"/>
          </w:tcPr>
          <w:p>
            <w:r>
              <w:t>23</w:t>
            </w:r>
          </w:p>
        </w:tc>
        <w:tc>
          <w:tcPr>
            <w:tcW w:type="dxa" w:w="2977"/>
          </w:tcPr>
          <w:p>
            <w:r>
              <w:t>自动化策略迭代与A/B实验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{{RESULT_143_2}}</w:t>
              <w:br/>
              <w:t>[[DEMO_143_2]]</w:t>
            </w:r>
          </w:p>
        </w:tc>
        <w:tc>
          <w:tcPr>
            <w:tcW w:type="dxa" w:w="1208"/>
          </w:tcPr>
          <w:p>
            <w:r>
              <w:t>{{CONCLUSION_143_2}}</w:t>
            </w:r>
          </w:p>
        </w:tc>
      </w:tr>
      <w:tr>
        <w:tc>
          <w:tcPr>
            <w:tcW w:type="dxa" w:w="855"/>
          </w:tcPr>
          <w:p>
            <w:r>
              <w:t>24</w:t>
            </w:r>
          </w:p>
        </w:tc>
        <w:tc>
          <w:tcPr>
            <w:tcW w:type="dxa" w:w="2977"/>
          </w:tcPr>
          <w:p>
            <w:r>
              <w:t>版本管理与生命周期规划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{{RESULT_143_3}}</w:t>
              <w:br/>
              <w:t>[[DEMO_143_3]]</w:t>
            </w:r>
          </w:p>
        </w:tc>
        <w:tc>
          <w:tcPr>
            <w:tcW w:type="dxa" w:w="1208"/>
          </w:tcPr>
          <w:p>
            <w:r>
              <w:t>{{CONCLUSION_143_3}}</w:t>
            </w:r>
          </w:p>
        </w:tc>
      </w:tr>
      <w:tr>
        <w:tc>
          <w:tcPr>
            <w:tcW w:type="dxa" w:w="855"/>
          </w:tcPr>
          <w:p>
            <w:r>
              <w:t>25</w:t>
            </w:r>
          </w:p>
        </w:tc>
        <w:tc>
          <w:tcPr>
            <w:tcW w:type="dxa" w:w="2977"/>
          </w:tcPr>
          <w:p>
            <w:r>
              <w:t>行为追踪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{{RESULT_211}}</w:t>
              <w:br/>
              <w:t>[[DEMO_211]]</w:t>
            </w:r>
          </w:p>
        </w:tc>
        <w:tc>
          <w:tcPr>
            <w:tcW w:type="dxa" w:w="1208"/>
          </w:tcPr>
          <w:p>
            <w:r>
              <w:t>{{CONCLUSION_211}}</w:t>
            </w:r>
          </w:p>
        </w:tc>
      </w:tr>
      <w:tr>
        <w:tc>
          <w:tcPr>
            <w:tcW w:type="dxa" w:w="855"/>
          </w:tcPr>
          <w:p>
            <w:r>
              <w:t>26</w:t>
            </w:r>
          </w:p>
        </w:tc>
        <w:tc>
          <w:tcPr>
            <w:tcW w:type="dxa" w:w="2977"/>
          </w:tcPr>
          <w:p>
            <w:r>
              <w:t>性能度量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{{RESULT_212}}</w:t>
              <w:br/>
              <w:t>[[DEMO_212]]</w:t>
            </w:r>
          </w:p>
        </w:tc>
        <w:tc>
          <w:tcPr>
            <w:tcW w:type="dxa" w:w="1208"/>
          </w:tcPr>
          <w:p>
            <w:r>
              <w:t>{{CONCLUSION_212}}</w:t>
            </w:r>
          </w:p>
        </w:tc>
      </w:tr>
      <w:tr>
        <w:tc>
          <w:tcPr>
            <w:tcW w:type="dxa" w:w="855"/>
          </w:tcPr>
          <w:p>
            <w:r>
              <w:t>27</w:t>
            </w:r>
          </w:p>
        </w:tc>
        <w:tc>
          <w:tcPr>
            <w:tcW w:type="dxa" w:w="2977"/>
          </w:tcPr>
          <w:p>
            <w:r>
              <w:t>质量与策略评估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{{RESULT_213}}</w:t>
              <w:br/>
              <w:t>[[DEMO_213]]</w:t>
            </w:r>
          </w:p>
        </w:tc>
        <w:tc>
          <w:tcPr>
            <w:tcW w:type="dxa" w:w="1208"/>
          </w:tcPr>
          <w:p>
            <w:r>
              <w:t>{{CONCLUSION_213}}</w:t>
            </w:r>
          </w:p>
        </w:tc>
      </w:tr>
      <w:tr>
        <w:tc>
          <w:tcPr>
            <w:tcW w:type="dxa" w:w="855"/>
          </w:tcPr>
          <w:p>
            <w:r>
              <w:t>28</w:t>
            </w:r>
          </w:p>
        </w:tc>
        <w:tc>
          <w:tcPr>
            <w:tcW w:type="dxa" w:w="2977"/>
          </w:tcPr>
          <w:p>
            <w:r>
              <w:t>安全合规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{{RESULT_214}}</w:t>
              <w:br/>
              <w:t>[[DEMO_214]]</w:t>
            </w:r>
          </w:p>
        </w:tc>
        <w:tc>
          <w:tcPr>
            <w:tcW w:type="dxa" w:w="1208"/>
          </w:tcPr>
          <w:p>
            <w:r>
              <w:t>{{CONCLUSION_214}}</w:t>
            </w:r>
          </w:p>
        </w:tc>
      </w:tr>
      <w:tr>
        <w:tc>
          <w:tcPr>
            <w:tcW w:type="dxa" w:w="855"/>
          </w:tcPr>
          <w:p>
            <w:r>
              <w:t>29</w:t>
            </w:r>
          </w:p>
        </w:tc>
        <w:tc>
          <w:tcPr>
            <w:tcW w:type="dxa" w:w="2977"/>
          </w:tcPr>
          <w:p>
            <w:r>
              <w:t>多Agent协作场景的交付需求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{{RESULT_221}}</w:t>
              <w:br/>
              <w:t>[[DEMO_221]]</w:t>
            </w:r>
          </w:p>
        </w:tc>
        <w:tc>
          <w:tcPr>
            <w:tcW w:type="dxa" w:w="1208"/>
          </w:tcPr>
          <w:p>
            <w:r>
              <w:t>{{CONCLUSION_221}}</w:t>
            </w:r>
          </w:p>
        </w:tc>
      </w:tr>
      <w:tr>
        <w:tc>
          <w:tcPr>
            <w:tcW w:type="dxa" w:w="855"/>
          </w:tcPr>
          <w:p>
            <w:r>
              <w:t>30</w:t>
            </w:r>
          </w:p>
        </w:tc>
        <w:tc>
          <w:tcPr>
            <w:tcW w:type="dxa" w:w="2977"/>
          </w:tcPr>
          <w:p>
            <w:r>
              <w:t>可解释性与决策过程</w:t>
            </w:r>
          </w:p>
        </w:tc>
        <w:tc>
          <w:tcPr>
            <w:tcW w:type="dxa" w:w="3119"/>
          </w:tcPr>
          <w:p>
            <w:r>
              <w:t>应完成相应能力验证，过程和结果可追溯。</w:t>
            </w:r>
          </w:p>
        </w:tc>
        <w:tc>
          <w:tcPr>
            <w:tcW w:type="dxa" w:w="1308"/>
          </w:tcPr>
          <w:p>
            <w:r>
              <w:t>{{RESULT_222}}</w:t>
              <w:br/>
              <w:t>[[DEMO_222]]</w:t>
            </w:r>
          </w:p>
        </w:tc>
        <w:tc>
          <w:tcPr>
            <w:tcW w:type="dxa" w:w="1208"/>
          </w:tcPr>
          <w:p>
            <w:r>
              <w:t>{{CONCLUSION_222}}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智能体交付管理能力要求检验报告在线生成模板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