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面向 AI 行业的模型数据协同能力要求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用户提供《原始记录》；正文标题已识别为模型数据协同能力要求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检验依据：用户提供《原始记录》；正文标题已识别为模型数据协同能力要求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验证模型注册、上传、存储及元数据管理功能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登录模型管理平台，进入模型注册界面。</w:t>
              <w:br/>
              <w:t>上传不同格式（如TensorFlow SavedModel、PyTorch、ONNX）的模型文件。</w:t>
              <w:br/>
              <w:t>填写模型名称、版本、描述、标签等元数据信息。</w:t>
              <w:br/>
              <w:t>提交注册，检查模型是否成功存储至指定存储后端（如对象存储、分布式文件系统）。</w:t>
              <w:br/>
              <w:t>从模型列表中查询已注册模型，查看元数据是否完整可读。</w:t>
              <w:br/>
              <w:t>下载已注册模型文件，与原始文件进行哈希比对，验证一致性。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{{RESULT_101_1}}</w:t>
              <w:br/>
              <w:t>[[DEMO_101_1]]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{{CONCLUSION_101_1}}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验证模型版本控制、版本切换、版本比对及版本删除能力。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支持多版本管理，版本号唯一且可追溯。</w:t>
              <w:br/>
              <w:t>可指定任意版本为默认版本，推理服务自动切换。</w:t>
              <w:br/>
              <w:t>提供版本比对功能（至少能展示元数据差异）。</w:t>
              <w:br/>
              <w:t>非默认版本可安全删除，不影响当前服务。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{{RESULT_101_2}}</w:t>
              <w:br/>
              <w:t>[[DEMO_101_2]]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{{CONCLUSION_101_2}}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验证模型从开发、测试、部署、下线到归档的全生命周期状态流转。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模型状态按预设流程流转（开发→测试→部署→下线→归档）。</w:t>
              <w:br/>
              <w:t>不同状态对应不同的操作权限（如已部署模型不可直接修改）。</w:t>
              <w:br/>
              <w:t>归档模型可恢复至已部署状态。</w:t>
              <w:br/>
              <w:t>所有状态变更记录操作日志。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{{RESULT_101_3}}</w:t>
              <w:br/>
              <w:t>[[DEMO_101_3]]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{{CONCLUSION_101_3}}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验证结构化、非结构化数据的接入方式及采集任务调度能力。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支持常见数据源类型（数据库、对象存储、消息队列、文件）。</w:t>
              <w:br/>
              <w:t>支持定时调度和手动触发，采集任务可监控运行状态。</w:t>
              <w:br/>
              <w:t>增量采集能正确识别新增数据，不重复不遗漏。</w:t>
              <w:br/>
              <w:t>异常情况有重试机制，数据最终一致。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{{RESULT_102_1}}</w:t>
              <w:br/>
              <w:t>[[DEMO_102_1]]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{{CONCLUSION_102_1}}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验证数据分区、目录结构、元数据索引及查询性能。</w:t>
            </w:r>
          </w:p>
        </w:tc>
        <w:tc>
          <w:tcPr>
            <w:tcW w:type="dxa" w:w="3119"/>
          </w:tcPr>
          <w:p>
            <w:r>
              <w:t>支持自定义分区策略，数据按分区物理隔离。</w:t>
              <w:br/>
              <w:t>目录结构清晰，支持嵌套。</w:t>
              <w:br/>
              <w:t>元数据索引生效，复杂查询响应时间≤3秒（百万级）。</w:t>
              <w:br/>
              <w:t>支持常见文件格式（Parquet、CSV、图片等）的预览。</w:t>
            </w:r>
          </w:p>
        </w:tc>
        <w:tc>
          <w:tcPr>
            <w:tcW w:type="dxa" w:w="1308"/>
          </w:tcPr>
          <w:p>
            <w:r>
              <w:t>{{RESULT_102_2}}</w:t>
              <w:br/>
              <w:t>[[DEMO_102_2]]</w:t>
            </w:r>
          </w:p>
        </w:tc>
        <w:tc>
          <w:tcPr>
            <w:tcW w:type="dxa" w:w="1208"/>
          </w:tcPr>
          <w:p>
            <w:r>
              <w:t>{{CONCLUSION_102_2}}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验证数据质量检查、数据血缘、数据生命周期策略。</w:t>
            </w:r>
          </w:p>
        </w:tc>
        <w:tc>
          <w:tcPr>
            <w:tcW w:type="dxa" w:w="3119"/>
          </w:tcPr>
          <w:p>
            <w:r>
              <w:t>支持配置多维度质量规则，自动执行并输出报告。</w:t>
              <w:br/>
              <w:t>血缘关系清晰展示ETL过程和依赖。</w:t>
              <w:br/>
              <w:t>数据生命周期策略按设定执行，提供迁移日志和删除备份。</w:t>
            </w:r>
          </w:p>
        </w:tc>
        <w:tc>
          <w:tcPr>
            <w:tcW w:type="dxa" w:w="1308"/>
          </w:tcPr>
          <w:p>
            <w:r>
              <w:t>{{RESULT_102_3}}</w:t>
              <w:br/>
              <w:t>[[DEMO_102_3]]</w:t>
            </w:r>
          </w:p>
        </w:tc>
        <w:tc>
          <w:tcPr>
            <w:tcW w:type="dxa" w:w="1208"/>
          </w:tcPr>
          <w:p>
            <w:r>
              <w:t>{{CONCLUSION_102_3}}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验证数据加密、脱敏、访问控制及审计日志。</w:t>
            </w:r>
          </w:p>
        </w:tc>
        <w:tc>
          <w:tcPr>
            <w:tcW w:type="dxa" w:w="3119"/>
          </w:tcPr>
          <w:p>
            <w:r>
              <w:t>支持字段级动态脱敏，根据用户角色展示不同级别数据。</w:t>
              <w:br/>
              <w:t>细粒度权限控制（读、写、导出、删除）有效。</w:t>
              <w:br/>
              <w:t>数据传输和存储均加密（如TLS、AES-256）。</w:t>
              <w:br/>
              <w:t>审计日志不可篡改，至少保留90天。</w:t>
            </w:r>
          </w:p>
        </w:tc>
        <w:tc>
          <w:tcPr>
            <w:tcW w:type="dxa" w:w="1308"/>
          </w:tcPr>
          <w:p>
            <w:r>
              <w:t>{{RESULT_102_4}}</w:t>
              <w:br/>
              <w:t>[[DEMO_102_4]]</w:t>
            </w:r>
          </w:p>
        </w:tc>
        <w:tc>
          <w:tcPr>
            <w:tcW w:type="dxa" w:w="1208"/>
          </w:tcPr>
          <w:p>
            <w:r>
              <w:t>{{CONCLUSION_102_4}}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验证数据预处理算子（清洗、归一化、增强）与模型输入格式的自动适配。</w:t>
            </w:r>
          </w:p>
        </w:tc>
        <w:tc>
          <w:tcPr>
            <w:tcW w:type="dxa" w:w="3119"/>
          </w:tcPr>
          <w:p>
            <w:r>
              <w:t>内置常见预处理算子（Resize、Normalize、RandomCrop等）。</w:t>
              <w:br/>
              <w:t>预处理流水线可保存、复用和导出。</w:t>
              <w:br/>
              <w:t>模型适配层能自动将原始数据转换为模型所需张量格式。</w:t>
              <w:br/>
              <w:t>自动预处理对用户透明，不影响推理接口调用。</w:t>
            </w:r>
          </w:p>
        </w:tc>
        <w:tc>
          <w:tcPr>
            <w:tcW w:type="dxa" w:w="1308"/>
          </w:tcPr>
          <w:p>
            <w:r>
              <w:t>{{RESULT_103_1}}</w:t>
              <w:br/>
              <w:t>[[DEMO_103_1]]</w:t>
            </w:r>
          </w:p>
        </w:tc>
        <w:tc>
          <w:tcPr>
            <w:tcW w:type="dxa" w:w="1208"/>
          </w:tcPr>
          <w:p>
            <w:r>
              <w:t>{{CONCLUSION_103_1}}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验证训练任务与数据版本绑定、数据动态加载及数据缓存加速。</w:t>
            </w:r>
          </w:p>
        </w:tc>
        <w:tc>
          <w:tcPr>
            <w:tcW w:type="dxa" w:w="3119"/>
          </w:tcPr>
          <w:p>
            <w:r>
              <w:t>训练任务可精确关联数据版本，数据变更不影响进行中的任务。</w:t>
              <w:br/>
              <w:t>支持流式数据加载，适应大规模数据集。</w:t>
              <w:br/>
              <w:t>数据缓存机制有效提升重复读取速度（≥50%）。</w:t>
              <w:br/>
              <w:t>训练与数据存储解耦，支持数据位置感知调度。</w:t>
            </w:r>
          </w:p>
        </w:tc>
        <w:tc>
          <w:tcPr>
            <w:tcW w:type="dxa" w:w="1308"/>
          </w:tcPr>
          <w:p>
            <w:r>
              <w:t>{{RESULT_103_2}}</w:t>
              <w:br/>
              <w:t>[[DEMO_103_2]]</w:t>
            </w:r>
          </w:p>
        </w:tc>
        <w:tc>
          <w:tcPr>
            <w:tcW w:type="dxa" w:w="1208"/>
          </w:tcPr>
          <w:p>
            <w:r>
              <w:t>{{CONCLUSION_103_2}}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验证推理请求与特征数据关联、批处理及结果回写能力。</w:t>
            </w:r>
          </w:p>
        </w:tc>
        <w:tc>
          <w:tcPr>
            <w:tcW w:type="dxa" w:w="3119"/>
          </w:tcPr>
          <w:p>
            <w:r>
              <w:t>支持在线特征检索与拼接。</w:t>
              <w:br/>
              <w:t>动态批处理可配置最大批次和最大等待时间。</w:t>
              <w:br/>
              <w:t>推理结果支持写回数据湖或消息队列。</w:t>
              <w:br/>
              <w:t>推理请求与数据版本可双向追溯。</w:t>
            </w:r>
          </w:p>
        </w:tc>
        <w:tc>
          <w:tcPr>
            <w:tcW w:type="dxa" w:w="1308"/>
          </w:tcPr>
          <w:p>
            <w:r>
              <w:t>{{RESULT_103_3}}</w:t>
              <w:br/>
              <w:t>[[DEMO_103_3]]</w:t>
            </w:r>
          </w:p>
        </w:tc>
        <w:tc>
          <w:tcPr>
            <w:tcW w:type="dxa" w:w="1208"/>
          </w:tcPr>
          <w:p>
            <w:r>
              <w:t>{{CONCLUSION_103_3}}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验证模型输出到训练数据、特征工程代码的完整血缘追溯。</w:t>
            </w:r>
          </w:p>
        </w:tc>
        <w:tc>
          <w:tcPr>
            <w:tcW w:type="dxa" w:w="3119"/>
          </w:tcPr>
          <w:p>
            <w:r>
              <w:t>提供可视化血缘图谱，包含数据、代码、模型、运行环境。</w:t>
              <w:br/>
              <w:t>支持对模型输出进行反向追溯至原始数据行。</w:t>
              <w:br/>
              <w:t>血缘信息自动采集，无需人工录入。</w:t>
              <w:br/>
              <w:t>支持血缘影响分析（如某数据变更影响哪些模型）。</w:t>
            </w:r>
          </w:p>
        </w:tc>
        <w:tc>
          <w:tcPr>
            <w:tcW w:type="dxa" w:w="1308"/>
          </w:tcPr>
          <w:p>
            <w:r>
              <w:t>{{RESULT_103_4}}</w:t>
              <w:br/>
              <w:t>[[DEMO_103_4]]</w:t>
            </w:r>
          </w:p>
        </w:tc>
        <w:tc>
          <w:tcPr>
            <w:tcW w:type="dxa" w:w="1208"/>
          </w:tcPr>
          <w:p>
            <w:r>
              <w:t>{{CONCLUSION_103_4}}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验证数据读写接口规范、认证鉴权及分页查询。</w:t>
            </w:r>
          </w:p>
        </w:tc>
        <w:tc>
          <w:tcPr>
            <w:tcW w:type="dxa" w:w="3119"/>
          </w:tcPr>
          <w:p>
            <w:r>
              <w:t>接口符合OpenAPI 3.0规范，提供在线文档。</w:t>
              <w:br/>
              <w:t>支持Bearer Token或API Key认证，权限控制正确。</w:t>
              <w:br/>
              <w:t>分页返回total、page、size字段，数据不重复不遗漏。</w:t>
              <w:br/>
              <w:t>gRPC接口与RESTful接口功能对等，支持双向流。</w:t>
            </w:r>
          </w:p>
        </w:tc>
        <w:tc>
          <w:tcPr>
            <w:tcW w:type="dxa" w:w="1308"/>
          </w:tcPr>
          <w:p>
            <w:r>
              <w:t>{{RESULT_104_1}}</w:t>
              <w:br/>
              <w:t>[[DEMO_104_1]]</w:t>
            </w:r>
          </w:p>
        </w:tc>
        <w:tc>
          <w:tcPr>
            <w:tcW w:type="dxa" w:w="1208"/>
          </w:tcPr>
          <w:p>
            <w:r>
              <w:t>{{CONCLUSION_104_1}}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验证模型部署、调用、更新接口的标准符合性及版本管理。</w:t>
            </w:r>
          </w:p>
        </w:tc>
        <w:tc>
          <w:tcPr>
            <w:tcW w:type="dxa" w:w="3119"/>
          </w:tcPr>
          <w:p>
            <w:r>
              <w:t>a) 应提供标准化的模型推理API，支持模型服务的统一调用；</w:t>
              <w:br/>
              <w:t>b) 应支持模型推理请求的批量处理接口，提升推理效率；</w:t>
              <w:br/>
              <w:t>c) 应支持模型元数据查询接口，提供模型信息、版本、能力等元数据的查询能力；</w:t>
              <w:br/>
              <w:t>d) 应支持模型状态查询接口，提供模型服务状态、健康状况等信息的查询能力；</w:t>
              <w:br/>
              <w:t>e) 应支持模型推理结果的结构化返回，包含推理结果、置信度、耗时等元信息；</w:t>
              <w:br/>
              <w:t>f) 宜支持模型推理的流式输出接口，满足实时性推理场景需求。</w:t>
            </w:r>
          </w:p>
        </w:tc>
        <w:tc>
          <w:tcPr>
            <w:tcW w:type="dxa" w:w="1308"/>
          </w:tcPr>
          <w:p>
            <w:r>
              <w:t>{{RESULT_104_2}}</w:t>
              <w:br/>
              <w:t>[[DEMO_104_2]]</w:t>
            </w:r>
          </w:p>
        </w:tc>
        <w:tc>
          <w:tcPr>
            <w:tcW w:type="dxa" w:w="1208"/>
          </w:tcPr>
          <w:p>
            <w:r>
              <w:t>{{CONCLUSION_104_2}}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验证模型训练、数据预处理、评估等流水线任务的编排接口。</w:t>
            </w:r>
          </w:p>
        </w:tc>
        <w:tc>
          <w:tcPr>
            <w:tcW w:type="dxa" w:w="3119"/>
          </w:tcPr>
          <w:p>
            <w:r>
              <w:t>a) 应支持工作流定义的标准化接口，提供工作流的创建、修改、查询、删除等管理能力；</w:t>
              <w:br/>
              <w:t>b) 应支持工作流执行的触发接口，支持基于事件、定时、API调用等多种触发方式；</w:t>
              <w:br/>
              <w:t>c) 应支持工作流执行状态的查询接口，提供工作流实例、任务节点、执行日志等查询能力；</w:t>
              <w:br/>
              <w:t>d) 应支持工作流节点的数据交互接口，实现工作流各节点间的数据传递与共享；</w:t>
              <w:br/>
              <w:t>e) 应支持工作流执行结果的通知接口，通过回调、Webhook等方式通知执行结果；</w:t>
              <w:br/>
              <w:t>f) 宜支持工作流编排的可视化编辑接口，提供图形化的工作流设计工具。</w:t>
            </w:r>
          </w:p>
        </w:tc>
        <w:tc>
          <w:tcPr>
            <w:tcW w:type="dxa" w:w="1308"/>
          </w:tcPr>
          <w:p>
            <w:r>
              <w:t>{{RESULT_104_3}}</w:t>
              <w:br/>
              <w:t>[[DEMO_104_3]]</w:t>
            </w:r>
          </w:p>
        </w:tc>
        <w:tc>
          <w:tcPr>
            <w:tcW w:type="dxa" w:w="1208"/>
          </w:tcPr>
          <w:p>
            <w:r>
              <w:t>{{CONCLUSION_104_3}}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AI 行业的模型数据协同能力要求检验报告在线生成模板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